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21" w:rsidRDefault="00BD21D3">
      <w:pPr>
        <w:jc w:val="center"/>
        <w:rPr>
          <w:b/>
          <w:bCs/>
          <w:sz w:val="44"/>
          <w:szCs w:val="44"/>
        </w:rPr>
      </w:pPr>
      <w:r>
        <w:rPr>
          <w:rFonts w:hint="eastAsia"/>
          <w:b/>
          <w:bCs/>
          <w:sz w:val="44"/>
          <w:szCs w:val="44"/>
        </w:rPr>
        <w:t>吉林交通职业技术学院</w:t>
      </w:r>
    </w:p>
    <w:p w:rsidR="007A1121" w:rsidRDefault="00BD21D3">
      <w:pPr>
        <w:jc w:val="center"/>
        <w:rPr>
          <w:b/>
          <w:bCs/>
          <w:sz w:val="44"/>
          <w:szCs w:val="44"/>
        </w:rPr>
      </w:pPr>
      <w:r>
        <w:rPr>
          <w:rFonts w:hint="eastAsia"/>
          <w:b/>
          <w:bCs/>
          <w:sz w:val="44"/>
          <w:szCs w:val="44"/>
        </w:rPr>
        <w:t>关于做好</w:t>
      </w:r>
      <w:r>
        <w:rPr>
          <w:rFonts w:hint="eastAsia"/>
          <w:b/>
          <w:bCs/>
          <w:sz w:val="44"/>
          <w:szCs w:val="44"/>
        </w:rPr>
        <w:t>党的十九大代表和</w:t>
      </w:r>
      <w:r>
        <w:rPr>
          <w:rFonts w:hint="eastAsia"/>
          <w:b/>
          <w:bCs/>
          <w:sz w:val="44"/>
          <w:szCs w:val="44"/>
        </w:rPr>
        <w:t>省第十一次</w:t>
      </w:r>
    </w:p>
    <w:p w:rsidR="007A1121" w:rsidRDefault="00BD21D3">
      <w:pPr>
        <w:jc w:val="center"/>
        <w:rPr>
          <w:b/>
          <w:bCs/>
          <w:sz w:val="44"/>
          <w:szCs w:val="44"/>
        </w:rPr>
      </w:pPr>
      <w:r>
        <w:rPr>
          <w:rFonts w:hint="eastAsia"/>
          <w:b/>
          <w:bCs/>
          <w:sz w:val="44"/>
          <w:szCs w:val="44"/>
        </w:rPr>
        <w:t>党代</w:t>
      </w:r>
      <w:r>
        <w:rPr>
          <w:rFonts w:hint="eastAsia"/>
          <w:b/>
          <w:bCs/>
          <w:sz w:val="44"/>
          <w:szCs w:val="44"/>
        </w:rPr>
        <w:t>会</w:t>
      </w:r>
      <w:r>
        <w:rPr>
          <w:rFonts w:hint="eastAsia"/>
          <w:b/>
          <w:bCs/>
          <w:sz w:val="44"/>
          <w:szCs w:val="44"/>
        </w:rPr>
        <w:t>代表</w:t>
      </w:r>
      <w:r>
        <w:rPr>
          <w:rFonts w:hint="eastAsia"/>
          <w:b/>
          <w:bCs/>
          <w:sz w:val="44"/>
          <w:szCs w:val="44"/>
        </w:rPr>
        <w:t>推荐选举</w:t>
      </w:r>
      <w:r>
        <w:rPr>
          <w:rFonts w:hint="eastAsia"/>
          <w:b/>
          <w:bCs/>
          <w:sz w:val="44"/>
          <w:szCs w:val="44"/>
        </w:rPr>
        <w:t>工作的通知</w:t>
      </w:r>
    </w:p>
    <w:p w:rsidR="007A1121" w:rsidRDefault="007A1121">
      <w:pPr>
        <w:rPr>
          <w:sz w:val="32"/>
          <w:szCs w:val="32"/>
        </w:rPr>
      </w:pPr>
    </w:p>
    <w:p w:rsidR="007A1121" w:rsidRDefault="00BD21D3">
      <w:pPr>
        <w:rPr>
          <w:sz w:val="32"/>
          <w:szCs w:val="32"/>
        </w:rPr>
      </w:pPr>
      <w:r>
        <w:rPr>
          <w:rFonts w:hint="eastAsia"/>
          <w:sz w:val="32"/>
          <w:szCs w:val="32"/>
        </w:rPr>
        <w:t>学校各党总支</w:t>
      </w:r>
      <w:r>
        <w:rPr>
          <w:rFonts w:hint="eastAsia"/>
          <w:sz w:val="32"/>
          <w:szCs w:val="32"/>
        </w:rPr>
        <w:t>：</w:t>
      </w:r>
    </w:p>
    <w:p w:rsidR="007A1121" w:rsidRDefault="00BD21D3">
      <w:pPr>
        <w:ind w:firstLine="640"/>
        <w:rPr>
          <w:sz w:val="32"/>
          <w:szCs w:val="32"/>
        </w:rPr>
      </w:pPr>
      <w:r>
        <w:rPr>
          <w:rFonts w:hint="eastAsia"/>
          <w:sz w:val="32"/>
          <w:szCs w:val="32"/>
        </w:rPr>
        <w:t>根据《关于做好吉林省高校系统推荐吉林省出席党的第十九次全国代表大会代表人选工作的通知》（吉高校发</w:t>
      </w:r>
      <w:r>
        <w:rPr>
          <w:rFonts w:ascii="仿宋_GB2312" w:hint="eastAsia"/>
          <w:sz w:val="32"/>
          <w:szCs w:val="32"/>
        </w:rPr>
        <w:t>〔</w:t>
      </w:r>
      <w:r>
        <w:rPr>
          <w:rFonts w:ascii="仿宋_GB2312" w:hint="eastAsia"/>
          <w:sz w:val="32"/>
          <w:szCs w:val="32"/>
        </w:rPr>
        <w:t>2016</w:t>
      </w:r>
      <w:r>
        <w:rPr>
          <w:rFonts w:ascii="仿宋_GB2312" w:hint="eastAsia"/>
          <w:sz w:val="32"/>
          <w:szCs w:val="32"/>
        </w:rPr>
        <w:t>〕</w:t>
      </w:r>
      <w:r>
        <w:rPr>
          <w:rFonts w:ascii="仿宋_GB2312" w:hint="eastAsia"/>
          <w:sz w:val="32"/>
          <w:szCs w:val="32"/>
        </w:rPr>
        <w:t>28</w:t>
      </w:r>
      <w:r>
        <w:rPr>
          <w:rFonts w:ascii="仿宋_GB2312" w:hint="eastAsia"/>
          <w:sz w:val="32"/>
          <w:szCs w:val="32"/>
        </w:rPr>
        <w:t>号</w:t>
      </w:r>
      <w:r>
        <w:rPr>
          <w:rFonts w:hint="eastAsia"/>
          <w:sz w:val="32"/>
          <w:szCs w:val="32"/>
        </w:rPr>
        <w:t>）、《关于做好吉林省高校系统选举吉林省第十一次党代表大会代表人选工作的通知》（吉高校发</w:t>
      </w:r>
      <w:r>
        <w:rPr>
          <w:rFonts w:ascii="仿宋_GB2312" w:hint="eastAsia"/>
          <w:sz w:val="32"/>
          <w:szCs w:val="32"/>
        </w:rPr>
        <w:t>〔</w:t>
      </w:r>
      <w:r>
        <w:rPr>
          <w:rFonts w:ascii="仿宋_GB2312" w:hint="eastAsia"/>
          <w:sz w:val="32"/>
          <w:szCs w:val="32"/>
        </w:rPr>
        <w:t>2016</w:t>
      </w:r>
      <w:r>
        <w:rPr>
          <w:rFonts w:ascii="仿宋_GB2312" w:hint="eastAsia"/>
          <w:sz w:val="32"/>
          <w:szCs w:val="32"/>
        </w:rPr>
        <w:t>〕</w:t>
      </w:r>
      <w:r>
        <w:rPr>
          <w:rFonts w:ascii="仿宋_GB2312" w:hint="eastAsia"/>
          <w:sz w:val="32"/>
          <w:szCs w:val="32"/>
        </w:rPr>
        <w:t>29</w:t>
      </w:r>
      <w:r>
        <w:rPr>
          <w:rFonts w:ascii="仿宋_GB2312" w:hint="eastAsia"/>
          <w:sz w:val="32"/>
          <w:szCs w:val="32"/>
        </w:rPr>
        <w:t>号</w:t>
      </w:r>
      <w:r>
        <w:rPr>
          <w:rFonts w:hint="eastAsia"/>
          <w:sz w:val="32"/>
          <w:szCs w:val="32"/>
        </w:rPr>
        <w:t>）要求，为认真完成好学校推荐选举吉林省出席党的第十九次全国代表大会代表、省十一次党代会代表人选工作，现将有关事项通知如下。</w:t>
      </w:r>
    </w:p>
    <w:p w:rsidR="007A1121" w:rsidRDefault="00BD21D3">
      <w:pPr>
        <w:rPr>
          <w:sz w:val="32"/>
          <w:szCs w:val="32"/>
        </w:rPr>
      </w:pPr>
      <w:r>
        <w:rPr>
          <w:rFonts w:hint="eastAsia"/>
          <w:b/>
          <w:bCs/>
          <w:sz w:val="32"/>
          <w:szCs w:val="32"/>
        </w:rPr>
        <w:t xml:space="preserve"> </w:t>
      </w:r>
      <w:r>
        <w:rPr>
          <w:rFonts w:hint="eastAsia"/>
          <w:b/>
          <w:bCs/>
          <w:sz w:val="32"/>
          <w:szCs w:val="32"/>
        </w:rPr>
        <w:t>一、</w:t>
      </w:r>
      <w:r>
        <w:rPr>
          <w:rFonts w:hint="eastAsia"/>
          <w:b/>
          <w:bCs/>
          <w:sz w:val="32"/>
          <w:szCs w:val="32"/>
        </w:rPr>
        <w:t>代表的名额及分配</w:t>
      </w:r>
    </w:p>
    <w:p w:rsidR="007A1121" w:rsidRDefault="00BD21D3">
      <w:pPr>
        <w:rPr>
          <w:sz w:val="32"/>
          <w:szCs w:val="32"/>
        </w:rPr>
      </w:pPr>
      <w:r>
        <w:rPr>
          <w:rFonts w:hint="eastAsia"/>
          <w:sz w:val="32"/>
          <w:szCs w:val="32"/>
        </w:rPr>
        <w:t xml:space="preserve">    </w:t>
      </w:r>
      <w:r>
        <w:rPr>
          <w:rFonts w:hint="eastAsia"/>
          <w:sz w:val="32"/>
          <w:szCs w:val="32"/>
        </w:rPr>
        <w:t>全省高校系统出席省十一次党代会代表名额为</w:t>
      </w:r>
      <w:r>
        <w:rPr>
          <w:rFonts w:hint="eastAsia"/>
          <w:sz w:val="32"/>
          <w:szCs w:val="32"/>
        </w:rPr>
        <w:t>15</w:t>
      </w:r>
      <w:r>
        <w:rPr>
          <w:rFonts w:hint="eastAsia"/>
          <w:sz w:val="32"/>
          <w:szCs w:val="32"/>
        </w:rPr>
        <w:t>名。省高校工委将推荐</w:t>
      </w:r>
      <w:bookmarkStart w:id="0" w:name="_GoBack"/>
      <w:bookmarkEnd w:id="0"/>
      <w:r>
        <w:rPr>
          <w:rFonts w:hint="eastAsia"/>
          <w:sz w:val="32"/>
          <w:szCs w:val="32"/>
        </w:rPr>
        <w:t>名额扩大</w:t>
      </w:r>
      <w:r>
        <w:rPr>
          <w:rFonts w:hint="eastAsia"/>
          <w:sz w:val="32"/>
          <w:szCs w:val="32"/>
        </w:rPr>
        <w:t>12.4</w:t>
      </w:r>
      <w:r>
        <w:rPr>
          <w:rFonts w:hint="eastAsia"/>
          <w:sz w:val="32"/>
          <w:szCs w:val="32"/>
        </w:rPr>
        <w:t>倍，分配给各高校。</w:t>
      </w:r>
      <w:r>
        <w:rPr>
          <w:rFonts w:hint="eastAsia"/>
          <w:sz w:val="32"/>
          <w:szCs w:val="32"/>
        </w:rPr>
        <w:t>分配给我校的推荐名额为</w:t>
      </w:r>
      <w:r>
        <w:rPr>
          <w:rFonts w:hint="eastAsia"/>
          <w:sz w:val="32"/>
          <w:szCs w:val="32"/>
        </w:rPr>
        <w:t>2</w:t>
      </w:r>
      <w:r>
        <w:rPr>
          <w:rFonts w:hint="eastAsia"/>
          <w:sz w:val="32"/>
          <w:szCs w:val="32"/>
        </w:rPr>
        <w:t>名。</w:t>
      </w:r>
    </w:p>
    <w:p w:rsidR="007A1121" w:rsidRDefault="00BD21D3">
      <w:pPr>
        <w:rPr>
          <w:sz w:val="32"/>
          <w:szCs w:val="32"/>
        </w:rPr>
      </w:pPr>
      <w:r>
        <w:rPr>
          <w:rFonts w:hint="eastAsia"/>
          <w:sz w:val="32"/>
          <w:szCs w:val="32"/>
        </w:rPr>
        <w:t>吉林省高校系统推荐吉林省出席党的第十九次全国代表大会代表名额为</w:t>
      </w:r>
      <w:r>
        <w:rPr>
          <w:rFonts w:hint="eastAsia"/>
          <w:sz w:val="32"/>
          <w:szCs w:val="32"/>
        </w:rPr>
        <w:t>5</w:t>
      </w:r>
      <w:r>
        <w:rPr>
          <w:rFonts w:hint="eastAsia"/>
          <w:sz w:val="32"/>
          <w:szCs w:val="32"/>
        </w:rPr>
        <w:t>名，其中党员领导干部</w:t>
      </w:r>
      <w:r>
        <w:rPr>
          <w:rFonts w:hint="eastAsia"/>
          <w:sz w:val="32"/>
          <w:szCs w:val="32"/>
        </w:rPr>
        <w:t>2</w:t>
      </w:r>
      <w:r>
        <w:rPr>
          <w:rFonts w:hint="eastAsia"/>
          <w:sz w:val="32"/>
          <w:szCs w:val="32"/>
        </w:rPr>
        <w:t>名</w:t>
      </w:r>
      <w:r>
        <w:rPr>
          <w:rFonts w:hint="eastAsia"/>
          <w:sz w:val="32"/>
          <w:szCs w:val="32"/>
        </w:rPr>
        <w:t>，</w:t>
      </w:r>
      <w:r>
        <w:rPr>
          <w:rFonts w:hint="eastAsia"/>
          <w:sz w:val="32"/>
          <w:szCs w:val="32"/>
        </w:rPr>
        <w:t>生产和工作第一线党员</w:t>
      </w:r>
      <w:r>
        <w:rPr>
          <w:rFonts w:hint="eastAsia"/>
          <w:sz w:val="32"/>
          <w:szCs w:val="32"/>
        </w:rPr>
        <w:t>3</w:t>
      </w:r>
      <w:r>
        <w:rPr>
          <w:rFonts w:hint="eastAsia"/>
          <w:sz w:val="32"/>
          <w:szCs w:val="32"/>
        </w:rPr>
        <w:t>名。省高校工委将推荐名额扩大</w:t>
      </w:r>
      <w:r>
        <w:rPr>
          <w:rFonts w:hint="eastAsia"/>
          <w:sz w:val="32"/>
          <w:szCs w:val="32"/>
        </w:rPr>
        <w:t>12.4</w:t>
      </w:r>
      <w:r>
        <w:rPr>
          <w:rFonts w:hint="eastAsia"/>
          <w:sz w:val="32"/>
          <w:szCs w:val="32"/>
        </w:rPr>
        <w:t>倍，分配给各高校。</w:t>
      </w:r>
      <w:r>
        <w:rPr>
          <w:rFonts w:hint="eastAsia"/>
          <w:sz w:val="32"/>
          <w:szCs w:val="32"/>
        </w:rPr>
        <w:t>分配给我校的推荐名额为</w:t>
      </w:r>
      <w:r>
        <w:rPr>
          <w:rFonts w:hint="eastAsia"/>
          <w:sz w:val="32"/>
          <w:szCs w:val="32"/>
        </w:rPr>
        <w:t>1</w:t>
      </w:r>
      <w:r>
        <w:rPr>
          <w:rFonts w:hint="eastAsia"/>
          <w:sz w:val="32"/>
          <w:szCs w:val="32"/>
        </w:rPr>
        <w:t>名（由推荐出席省十一次党代会的代表中产生）。</w:t>
      </w:r>
    </w:p>
    <w:p w:rsidR="007A1121" w:rsidRDefault="00BD21D3">
      <w:pPr>
        <w:ind w:firstLine="640"/>
        <w:rPr>
          <w:sz w:val="32"/>
          <w:szCs w:val="32"/>
        </w:rPr>
      </w:pPr>
      <w:r>
        <w:rPr>
          <w:rFonts w:hint="eastAsia"/>
          <w:sz w:val="32"/>
          <w:szCs w:val="32"/>
        </w:rPr>
        <w:t>学校各基层党组织可以在全校范围内选举推荐</w:t>
      </w:r>
      <w:r>
        <w:rPr>
          <w:rFonts w:hint="eastAsia"/>
          <w:sz w:val="32"/>
          <w:szCs w:val="32"/>
        </w:rPr>
        <w:t>4</w:t>
      </w:r>
      <w:r>
        <w:rPr>
          <w:rFonts w:hint="eastAsia"/>
          <w:sz w:val="32"/>
          <w:szCs w:val="32"/>
        </w:rPr>
        <w:t>名，</w:t>
      </w:r>
      <w:r>
        <w:rPr>
          <w:rFonts w:hint="eastAsia"/>
          <w:sz w:val="32"/>
          <w:szCs w:val="32"/>
        </w:rPr>
        <w:t>学</w:t>
      </w:r>
      <w:r>
        <w:rPr>
          <w:rFonts w:hint="eastAsia"/>
          <w:sz w:val="32"/>
          <w:szCs w:val="32"/>
        </w:rPr>
        <w:lastRenderedPageBreak/>
        <w:t>校党委根据多数党总支的意见对推荐人选进行研究遴选，</w:t>
      </w:r>
      <w:r>
        <w:rPr>
          <w:rFonts w:hint="eastAsia"/>
          <w:sz w:val="32"/>
          <w:szCs w:val="32"/>
        </w:rPr>
        <w:t>最后确定</w:t>
      </w:r>
      <w:r>
        <w:rPr>
          <w:rFonts w:hint="eastAsia"/>
          <w:sz w:val="32"/>
          <w:szCs w:val="32"/>
        </w:rPr>
        <w:t>2</w:t>
      </w:r>
      <w:r>
        <w:rPr>
          <w:rFonts w:hint="eastAsia"/>
          <w:sz w:val="32"/>
          <w:szCs w:val="32"/>
        </w:rPr>
        <w:t>名上报人选。</w:t>
      </w:r>
    </w:p>
    <w:p w:rsidR="007A1121" w:rsidRDefault="00BD21D3">
      <w:pPr>
        <w:rPr>
          <w:sz w:val="32"/>
          <w:szCs w:val="32"/>
        </w:rPr>
      </w:pPr>
      <w:r>
        <w:rPr>
          <w:rFonts w:hint="eastAsia"/>
          <w:b/>
          <w:bCs/>
          <w:sz w:val="32"/>
          <w:szCs w:val="32"/>
        </w:rPr>
        <w:t xml:space="preserve">  </w:t>
      </w:r>
      <w:r>
        <w:rPr>
          <w:rFonts w:hint="eastAsia"/>
          <w:b/>
          <w:bCs/>
          <w:sz w:val="32"/>
          <w:szCs w:val="32"/>
        </w:rPr>
        <w:t>二、代表的条件</w:t>
      </w:r>
    </w:p>
    <w:p w:rsidR="007A1121" w:rsidRDefault="00BD21D3">
      <w:pPr>
        <w:rPr>
          <w:sz w:val="32"/>
          <w:szCs w:val="32"/>
        </w:rPr>
      </w:pPr>
      <w:r>
        <w:rPr>
          <w:rFonts w:hint="eastAsia"/>
          <w:sz w:val="32"/>
          <w:szCs w:val="32"/>
        </w:rPr>
        <w:t>党的十九大代表和</w:t>
      </w:r>
      <w:r>
        <w:rPr>
          <w:rFonts w:hint="eastAsia"/>
          <w:sz w:val="32"/>
          <w:szCs w:val="32"/>
        </w:rPr>
        <w:t>省十一次党代会代表应是共产党员中的优秀分子，带头尊崇党章、模范遵守党章，严格按照党员标准要求自己，具有共产党员的先进性和纯洁性。能够努力学习马克思列宁主义、毛泽东思想、“三个代表</w:t>
      </w:r>
      <w:r>
        <w:rPr>
          <w:rFonts w:hint="eastAsia"/>
          <w:sz w:val="32"/>
          <w:szCs w:val="32"/>
        </w:rPr>
        <w:t>”</w:t>
      </w:r>
      <w:r>
        <w:rPr>
          <w:rFonts w:hint="eastAsia"/>
          <w:sz w:val="32"/>
          <w:szCs w:val="32"/>
        </w:rPr>
        <w:t>重要思想和科学发展观，深入学习贯彻习近平总书记系列重要讲话精神，坚定共产主义远大理想和中国特色社会主义共同理想，坚持中国特色社会主义道路自信、理论自信、制度自信、文化自信；能够坚决执行党的路线方针政策，认真贯彻党中央治国理政新理念新思想新战略，带头落实“五位一体”总体布局和“四个全面”战略布局的要求，政治意识、大</w:t>
      </w:r>
      <w:r>
        <w:rPr>
          <w:rFonts w:hint="eastAsia"/>
          <w:sz w:val="32"/>
          <w:szCs w:val="32"/>
        </w:rPr>
        <w:t>局意识、核心意识、看齐意识强，对党忠诚，自觉维护党的集中统一，在思想上政治上行动上坚决同以习近平同志为核心的党中央保持高度一致，立场坚定，明辨是非，坚持原则，在关键时刻经得起考验；能够自觉践行党的根本宗旨和社会主义核心价值观，认真落实“三严三实</w:t>
      </w:r>
      <w:r>
        <w:rPr>
          <w:rFonts w:hint="eastAsia"/>
          <w:sz w:val="32"/>
          <w:szCs w:val="32"/>
        </w:rPr>
        <w:t>”</w:t>
      </w:r>
      <w:r>
        <w:rPr>
          <w:rFonts w:hint="eastAsia"/>
          <w:sz w:val="32"/>
          <w:szCs w:val="32"/>
        </w:rPr>
        <w:t>要求，密切联系群众，热忱服务群众，受到群众拥护，遵守党规党纪和国家法律法规，公道正派，清正廉洁，有良好的道德品质、作风和形象；能够充分发挥共产党员先锋模范作用，带头创先争优，敢于担当、勤奋敬业，求真务实、积极作为，锐意改革、开拓创新，</w:t>
      </w:r>
      <w:r>
        <w:rPr>
          <w:rFonts w:hint="eastAsia"/>
          <w:sz w:val="32"/>
          <w:szCs w:val="32"/>
        </w:rPr>
        <w:lastRenderedPageBreak/>
        <w:t>在深入实施高教强省战略，发挥吉林</w:t>
      </w:r>
      <w:r>
        <w:rPr>
          <w:rFonts w:hint="eastAsia"/>
          <w:sz w:val="32"/>
          <w:szCs w:val="32"/>
        </w:rPr>
        <w:t>“五个优势</w:t>
      </w:r>
      <w:r>
        <w:rPr>
          <w:rFonts w:hint="eastAsia"/>
          <w:sz w:val="32"/>
          <w:szCs w:val="32"/>
        </w:rPr>
        <w:t>”</w:t>
      </w:r>
      <w:r>
        <w:rPr>
          <w:rFonts w:hint="eastAsia"/>
          <w:sz w:val="32"/>
          <w:szCs w:val="32"/>
        </w:rPr>
        <w:t>、推进“五项举措</w:t>
      </w:r>
      <w:r>
        <w:rPr>
          <w:rFonts w:hint="eastAsia"/>
          <w:sz w:val="32"/>
          <w:szCs w:val="32"/>
        </w:rPr>
        <w:t>”</w:t>
      </w:r>
      <w:r>
        <w:rPr>
          <w:rFonts w:hint="eastAsia"/>
          <w:sz w:val="32"/>
          <w:szCs w:val="32"/>
        </w:rPr>
        <w:t>、加快“五大发展”、打好“三大攻坚战”等生产和工作的实践中作出显著成绩；能够正确行使民主权利，忠实履行代表职责，具有较强的议事能力和群众工作本领，积极并如实反映党员和群众的意见和要求，自觉接受监督。</w:t>
      </w:r>
    </w:p>
    <w:p w:rsidR="007A1121" w:rsidRDefault="00BD21D3">
      <w:pPr>
        <w:ind w:firstLine="420"/>
        <w:rPr>
          <w:b/>
          <w:bCs/>
          <w:sz w:val="32"/>
          <w:szCs w:val="32"/>
        </w:rPr>
      </w:pPr>
      <w:r>
        <w:rPr>
          <w:rFonts w:hint="eastAsia"/>
          <w:b/>
          <w:bCs/>
          <w:sz w:val="32"/>
          <w:szCs w:val="32"/>
        </w:rPr>
        <w:t>三</w:t>
      </w:r>
      <w:r>
        <w:rPr>
          <w:rFonts w:hint="eastAsia"/>
          <w:b/>
          <w:bCs/>
          <w:sz w:val="32"/>
          <w:szCs w:val="32"/>
        </w:rPr>
        <w:t>、代表的构成</w:t>
      </w:r>
    </w:p>
    <w:p w:rsidR="007A1121" w:rsidRDefault="00BD21D3">
      <w:pPr>
        <w:rPr>
          <w:sz w:val="32"/>
          <w:szCs w:val="32"/>
        </w:rPr>
      </w:pPr>
      <w:r>
        <w:rPr>
          <w:rFonts w:hint="eastAsia"/>
          <w:sz w:val="32"/>
          <w:szCs w:val="32"/>
        </w:rPr>
        <w:t>全省高校系统出席省十一次党代会代表</w:t>
      </w:r>
      <w:r>
        <w:rPr>
          <w:rFonts w:hint="eastAsia"/>
          <w:sz w:val="32"/>
          <w:szCs w:val="32"/>
        </w:rPr>
        <w:t>和党的十九大代表</w:t>
      </w:r>
      <w:r>
        <w:rPr>
          <w:rFonts w:hint="eastAsia"/>
          <w:sz w:val="32"/>
          <w:szCs w:val="32"/>
        </w:rPr>
        <w:t>，在坚持先进性的同时应具有广泛的代表性。其中党员领导干部</w:t>
      </w:r>
      <w:r>
        <w:rPr>
          <w:rFonts w:hint="eastAsia"/>
          <w:sz w:val="32"/>
          <w:szCs w:val="32"/>
        </w:rPr>
        <w:t>6</w:t>
      </w:r>
      <w:r>
        <w:rPr>
          <w:rFonts w:hint="eastAsia"/>
          <w:sz w:val="32"/>
          <w:szCs w:val="32"/>
        </w:rPr>
        <w:t>名，占</w:t>
      </w:r>
      <w:r>
        <w:rPr>
          <w:rFonts w:hint="eastAsia"/>
          <w:sz w:val="32"/>
          <w:szCs w:val="32"/>
        </w:rPr>
        <w:t>40%</w:t>
      </w:r>
      <w:r>
        <w:rPr>
          <w:rFonts w:hint="eastAsia"/>
          <w:sz w:val="32"/>
          <w:szCs w:val="32"/>
        </w:rPr>
        <w:t>（党员领导干部的范围主要是指高等院校领导人员）；专业技术人员</w:t>
      </w:r>
      <w:r>
        <w:rPr>
          <w:rFonts w:hint="eastAsia"/>
          <w:sz w:val="32"/>
          <w:szCs w:val="32"/>
        </w:rPr>
        <w:t>7</w:t>
      </w:r>
      <w:r>
        <w:rPr>
          <w:rFonts w:hint="eastAsia"/>
          <w:sz w:val="32"/>
          <w:szCs w:val="32"/>
        </w:rPr>
        <w:t>名，占</w:t>
      </w:r>
      <w:r>
        <w:rPr>
          <w:rFonts w:hint="eastAsia"/>
          <w:sz w:val="32"/>
          <w:szCs w:val="32"/>
        </w:rPr>
        <w:t>46. 7%</w:t>
      </w:r>
      <w:r>
        <w:rPr>
          <w:rFonts w:hint="eastAsia"/>
          <w:sz w:val="32"/>
          <w:szCs w:val="32"/>
        </w:rPr>
        <w:t>（专业技术党员范围主要是指在高校专业技术岗位工作的党员。担任高校</w:t>
      </w:r>
      <w:r>
        <w:rPr>
          <w:rFonts w:hint="eastAsia"/>
          <w:sz w:val="32"/>
          <w:szCs w:val="32"/>
        </w:rPr>
        <w:t>中层及以下</w:t>
      </w:r>
      <w:r>
        <w:rPr>
          <w:rFonts w:hint="eastAsia"/>
          <w:sz w:val="32"/>
          <w:szCs w:val="32"/>
        </w:rPr>
        <w:t>行政管理职务，同时从事教学、科研等专业技术工作的，可作为专业技术人员。具有专业技术职称的高等院校领导人员专家学者，不列为专业技术人员）；先进模范人物</w:t>
      </w:r>
      <w:r>
        <w:rPr>
          <w:rFonts w:hint="eastAsia"/>
          <w:sz w:val="32"/>
          <w:szCs w:val="32"/>
        </w:rPr>
        <w:t>2</w:t>
      </w:r>
      <w:r>
        <w:rPr>
          <w:rFonts w:hint="eastAsia"/>
          <w:sz w:val="32"/>
          <w:szCs w:val="32"/>
        </w:rPr>
        <w:t>名，占</w:t>
      </w:r>
      <w:r>
        <w:rPr>
          <w:rFonts w:hint="eastAsia"/>
          <w:sz w:val="32"/>
          <w:szCs w:val="32"/>
        </w:rPr>
        <w:t>13.3%</w:t>
      </w:r>
      <w:r>
        <w:rPr>
          <w:rFonts w:hint="eastAsia"/>
          <w:sz w:val="32"/>
          <w:szCs w:val="32"/>
        </w:rPr>
        <w:t>。在选举产生的代表中，</w:t>
      </w:r>
      <w:r>
        <w:rPr>
          <w:rFonts w:hint="eastAsia"/>
          <w:sz w:val="32"/>
          <w:szCs w:val="32"/>
        </w:rPr>
        <w:t>50</w:t>
      </w:r>
      <w:r>
        <w:rPr>
          <w:rFonts w:hint="eastAsia"/>
          <w:sz w:val="32"/>
          <w:szCs w:val="32"/>
        </w:rPr>
        <w:t>岁以下党员不少于</w:t>
      </w:r>
      <w:r>
        <w:rPr>
          <w:rFonts w:hint="eastAsia"/>
          <w:sz w:val="32"/>
          <w:szCs w:val="32"/>
        </w:rPr>
        <w:t>8</w:t>
      </w:r>
      <w:r>
        <w:rPr>
          <w:rFonts w:hint="eastAsia"/>
          <w:sz w:val="32"/>
          <w:szCs w:val="32"/>
        </w:rPr>
        <w:t>人。</w:t>
      </w:r>
    </w:p>
    <w:p w:rsidR="007A1121" w:rsidRDefault="00BD21D3">
      <w:pPr>
        <w:rPr>
          <w:sz w:val="32"/>
          <w:szCs w:val="32"/>
        </w:rPr>
      </w:pPr>
      <w:r>
        <w:rPr>
          <w:rFonts w:hint="eastAsia"/>
          <w:b/>
          <w:bCs/>
          <w:sz w:val="32"/>
          <w:szCs w:val="32"/>
        </w:rPr>
        <w:t>四</w:t>
      </w:r>
      <w:r>
        <w:rPr>
          <w:rFonts w:hint="eastAsia"/>
          <w:b/>
          <w:bCs/>
          <w:sz w:val="32"/>
          <w:szCs w:val="32"/>
        </w:rPr>
        <w:t>、代表的产生程序</w:t>
      </w:r>
    </w:p>
    <w:p w:rsidR="007A1121" w:rsidRDefault="00BD21D3">
      <w:pPr>
        <w:rPr>
          <w:sz w:val="32"/>
          <w:szCs w:val="32"/>
        </w:rPr>
      </w:pPr>
      <w:r>
        <w:rPr>
          <w:rFonts w:hint="eastAsia"/>
          <w:sz w:val="32"/>
          <w:szCs w:val="32"/>
        </w:rPr>
        <w:t xml:space="preserve">    </w:t>
      </w:r>
      <w:r>
        <w:rPr>
          <w:rFonts w:hint="eastAsia"/>
          <w:sz w:val="32"/>
          <w:szCs w:val="32"/>
        </w:rPr>
        <w:t>省十一次党代会代表的产生，要坚持党的领导与发扬民</w:t>
      </w:r>
    </w:p>
    <w:p w:rsidR="007A1121" w:rsidRDefault="00BD21D3">
      <w:pPr>
        <w:rPr>
          <w:sz w:val="32"/>
          <w:szCs w:val="32"/>
        </w:rPr>
      </w:pPr>
      <w:r>
        <w:rPr>
          <w:rFonts w:hint="eastAsia"/>
          <w:sz w:val="32"/>
          <w:szCs w:val="32"/>
        </w:rPr>
        <w:t>主有机统一，采取自下而上、上下结合、反复酝酿、逐级遴</w:t>
      </w:r>
    </w:p>
    <w:p w:rsidR="007A1121" w:rsidRDefault="00BD21D3">
      <w:pPr>
        <w:rPr>
          <w:sz w:val="32"/>
          <w:szCs w:val="32"/>
        </w:rPr>
      </w:pPr>
      <w:r>
        <w:rPr>
          <w:rFonts w:hint="eastAsia"/>
          <w:sz w:val="32"/>
          <w:szCs w:val="32"/>
        </w:rPr>
        <w:t>选的办法进行。产生程序分为</w:t>
      </w:r>
      <w:r>
        <w:rPr>
          <w:rFonts w:hint="eastAsia"/>
          <w:sz w:val="32"/>
          <w:szCs w:val="32"/>
        </w:rPr>
        <w:t>5</w:t>
      </w:r>
      <w:r>
        <w:rPr>
          <w:rFonts w:hint="eastAsia"/>
          <w:sz w:val="32"/>
          <w:szCs w:val="32"/>
        </w:rPr>
        <w:t>个主要环节：</w:t>
      </w:r>
    </w:p>
    <w:p w:rsidR="007A1121" w:rsidRDefault="00BD21D3">
      <w:pPr>
        <w:rPr>
          <w:sz w:val="32"/>
          <w:szCs w:val="32"/>
        </w:rPr>
      </w:pPr>
      <w:r>
        <w:rPr>
          <w:rFonts w:hint="eastAsia"/>
          <w:b/>
          <w:bCs/>
          <w:sz w:val="32"/>
          <w:szCs w:val="32"/>
        </w:rPr>
        <w:t>1</w:t>
      </w:r>
      <w:r>
        <w:rPr>
          <w:rFonts w:hint="eastAsia"/>
          <w:b/>
          <w:bCs/>
          <w:sz w:val="32"/>
          <w:szCs w:val="32"/>
        </w:rPr>
        <w:t>．推荐提名。</w:t>
      </w:r>
    </w:p>
    <w:p w:rsidR="007A1121" w:rsidRPr="00926E30" w:rsidRDefault="00BD21D3">
      <w:pPr>
        <w:rPr>
          <w:color w:val="FF0000"/>
          <w:sz w:val="44"/>
          <w:szCs w:val="44"/>
        </w:rPr>
      </w:pPr>
      <w:r w:rsidRPr="00926E30">
        <w:rPr>
          <w:rFonts w:hint="eastAsia"/>
          <w:color w:val="FF0000"/>
          <w:sz w:val="44"/>
          <w:szCs w:val="44"/>
        </w:rPr>
        <w:t>（</w:t>
      </w:r>
      <w:r w:rsidRPr="00926E30">
        <w:rPr>
          <w:rFonts w:hint="eastAsia"/>
          <w:color w:val="FF0000"/>
          <w:sz w:val="44"/>
          <w:szCs w:val="44"/>
        </w:rPr>
        <w:t>1</w:t>
      </w:r>
      <w:r w:rsidRPr="00926E30">
        <w:rPr>
          <w:rFonts w:hint="eastAsia"/>
          <w:color w:val="FF0000"/>
          <w:sz w:val="44"/>
          <w:szCs w:val="44"/>
        </w:rPr>
        <w:t>）</w:t>
      </w:r>
      <w:r w:rsidRPr="00926E30">
        <w:rPr>
          <w:rFonts w:hint="eastAsia"/>
          <w:color w:val="FF0000"/>
          <w:sz w:val="44"/>
          <w:szCs w:val="44"/>
        </w:rPr>
        <w:t>基层党支部根据</w:t>
      </w:r>
      <w:r w:rsidRPr="00926E30">
        <w:rPr>
          <w:rFonts w:hint="eastAsia"/>
          <w:color w:val="FF0000"/>
          <w:sz w:val="44"/>
          <w:szCs w:val="44"/>
        </w:rPr>
        <w:t>学校</w:t>
      </w:r>
      <w:r w:rsidRPr="00926E30">
        <w:rPr>
          <w:rFonts w:hint="eastAsia"/>
          <w:color w:val="FF0000"/>
          <w:sz w:val="44"/>
          <w:szCs w:val="44"/>
        </w:rPr>
        <w:t>分配的</w:t>
      </w:r>
      <w:r w:rsidRPr="00926E30">
        <w:rPr>
          <w:rFonts w:hint="eastAsia"/>
          <w:color w:val="FF0000"/>
          <w:sz w:val="44"/>
          <w:szCs w:val="44"/>
        </w:rPr>
        <w:t>选举推荐</w:t>
      </w:r>
      <w:r w:rsidRPr="00926E30">
        <w:rPr>
          <w:rFonts w:hint="eastAsia"/>
          <w:color w:val="FF0000"/>
          <w:sz w:val="44"/>
          <w:szCs w:val="44"/>
        </w:rPr>
        <w:lastRenderedPageBreak/>
        <w:t>名额，按照代表的条件和结构要求等，组织党员严肃认真推荐人选</w:t>
      </w:r>
      <w:r w:rsidRPr="00926E30">
        <w:rPr>
          <w:rFonts w:hint="eastAsia"/>
          <w:color w:val="FF0000"/>
          <w:sz w:val="44"/>
          <w:szCs w:val="44"/>
        </w:rPr>
        <w:t>。基层党支部根据多数党员的意见，提出代表推荐提名人选，报送党总支。此项工作于</w:t>
      </w:r>
      <w:r w:rsidRPr="00926E30">
        <w:rPr>
          <w:rFonts w:hint="eastAsia"/>
          <w:color w:val="FF0000"/>
          <w:sz w:val="44"/>
          <w:szCs w:val="44"/>
        </w:rPr>
        <w:t>12</w:t>
      </w:r>
      <w:r w:rsidRPr="00926E30">
        <w:rPr>
          <w:rFonts w:hint="eastAsia"/>
          <w:color w:val="FF0000"/>
          <w:sz w:val="44"/>
          <w:szCs w:val="44"/>
        </w:rPr>
        <w:t>月</w:t>
      </w:r>
      <w:r w:rsidRPr="00926E30">
        <w:rPr>
          <w:rFonts w:hint="eastAsia"/>
          <w:color w:val="FF0000"/>
          <w:sz w:val="44"/>
          <w:szCs w:val="44"/>
        </w:rPr>
        <w:t>7</w:t>
      </w:r>
      <w:r w:rsidRPr="00926E30">
        <w:rPr>
          <w:rFonts w:hint="eastAsia"/>
          <w:color w:val="FF0000"/>
          <w:sz w:val="44"/>
          <w:szCs w:val="44"/>
        </w:rPr>
        <w:t>日下班前完成。</w:t>
      </w:r>
    </w:p>
    <w:p w:rsidR="007A1121" w:rsidRDefault="00BD21D3">
      <w:pPr>
        <w:rPr>
          <w:sz w:val="32"/>
          <w:szCs w:val="32"/>
        </w:rPr>
      </w:pPr>
      <w:r>
        <w:rPr>
          <w:rFonts w:hint="eastAsia"/>
          <w:sz w:val="32"/>
          <w:szCs w:val="32"/>
        </w:rPr>
        <w:t>（</w:t>
      </w:r>
      <w:r>
        <w:rPr>
          <w:rFonts w:hint="eastAsia"/>
          <w:sz w:val="32"/>
          <w:szCs w:val="32"/>
        </w:rPr>
        <w:t>2</w:t>
      </w:r>
      <w:r>
        <w:rPr>
          <w:rFonts w:hint="eastAsia"/>
          <w:sz w:val="32"/>
          <w:szCs w:val="32"/>
        </w:rPr>
        <w:t>）</w:t>
      </w:r>
      <w:r>
        <w:rPr>
          <w:rFonts w:hint="eastAsia"/>
          <w:sz w:val="32"/>
          <w:szCs w:val="32"/>
        </w:rPr>
        <w:t>党总支根据多数党支部的意见对推荐人选进行研究遴选，再征求各党支部意见，经党总支</w:t>
      </w:r>
      <w:r>
        <w:rPr>
          <w:rFonts w:hint="eastAsia"/>
          <w:sz w:val="32"/>
          <w:szCs w:val="32"/>
        </w:rPr>
        <w:t>委员会</w:t>
      </w:r>
      <w:r>
        <w:rPr>
          <w:rFonts w:hint="eastAsia"/>
          <w:sz w:val="32"/>
          <w:szCs w:val="32"/>
        </w:rPr>
        <w:t>集体研究上报人选，报送学校党委。此项工作于</w:t>
      </w:r>
      <w:r>
        <w:rPr>
          <w:rFonts w:hint="eastAsia"/>
          <w:sz w:val="32"/>
          <w:szCs w:val="32"/>
        </w:rPr>
        <w:t>12</w:t>
      </w:r>
      <w:r>
        <w:rPr>
          <w:rFonts w:hint="eastAsia"/>
          <w:sz w:val="32"/>
          <w:szCs w:val="32"/>
        </w:rPr>
        <w:t>月</w:t>
      </w:r>
      <w:r>
        <w:rPr>
          <w:rFonts w:hint="eastAsia"/>
          <w:sz w:val="32"/>
          <w:szCs w:val="32"/>
        </w:rPr>
        <w:t>8</w:t>
      </w:r>
      <w:r>
        <w:rPr>
          <w:rFonts w:hint="eastAsia"/>
          <w:sz w:val="32"/>
          <w:szCs w:val="32"/>
        </w:rPr>
        <w:t>日</w:t>
      </w:r>
      <w:r>
        <w:rPr>
          <w:rFonts w:hint="eastAsia"/>
          <w:sz w:val="32"/>
          <w:szCs w:val="32"/>
        </w:rPr>
        <w:t>10</w:t>
      </w:r>
      <w:r>
        <w:rPr>
          <w:rFonts w:hint="eastAsia"/>
          <w:sz w:val="32"/>
          <w:szCs w:val="32"/>
        </w:rPr>
        <w:t>：</w:t>
      </w:r>
      <w:r>
        <w:rPr>
          <w:rFonts w:hint="eastAsia"/>
          <w:sz w:val="32"/>
          <w:szCs w:val="32"/>
        </w:rPr>
        <w:t>00</w:t>
      </w:r>
      <w:r>
        <w:rPr>
          <w:rFonts w:hint="eastAsia"/>
          <w:sz w:val="32"/>
          <w:szCs w:val="32"/>
        </w:rPr>
        <w:t>前完成。</w:t>
      </w:r>
    </w:p>
    <w:p w:rsidR="007A1121" w:rsidRDefault="00BD21D3">
      <w:pPr>
        <w:rPr>
          <w:sz w:val="32"/>
          <w:szCs w:val="32"/>
        </w:rPr>
      </w:pPr>
      <w:r>
        <w:rPr>
          <w:rFonts w:hint="eastAsia"/>
          <w:sz w:val="32"/>
          <w:szCs w:val="32"/>
        </w:rPr>
        <w:t>（</w:t>
      </w:r>
      <w:r>
        <w:rPr>
          <w:rFonts w:hint="eastAsia"/>
          <w:sz w:val="32"/>
          <w:szCs w:val="32"/>
        </w:rPr>
        <w:t>3</w:t>
      </w:r>
      <w:r>
        <w:rPr>
          <w:rFonts w:hint="eastAsia"/>
          <w:sz w:val="32"/>
          <w:szCs w:val="32"/>
        </w:rPr>
        <w:t>）</w:t>
      </w:r>
      <w:r>
        <w:rPr>
          <w:rFonts w:hint="eastAsia"/>
          <w:sz w:val="32"/>
          <w:szCs w:val="32"/>
        </w:rPr>
        <w:t>学校党委根据多数党总支的意见对推荐人选进行研究遴选，再征求各党总支意见，召开党委会会议讨论决定上报的推荐人选，报送省高校工委。此项工作于</w:t>
      </w:r>
      <w:r>
        <w:rPr>
          <w:rFonts w:hint="eastAsia"/>
          <w:sz w:val="32"/>
          <w:szCs w:val="32"/>
        </w:rPr>
        <w:t>12</w:t>
      </w:r>
      <w:r>
        <w:rPr>
          <w:rFonts w:hint="eastAsia"/>
          <w:sz w:val="32"/>
          <w:szCs w:val="32"/>
        </w:rPr>
        <w:t>月</w:t>
      </w:r>
      <w:r>
        <w:rPr>
          <w:rFonts w:hint="eastAsia"/>
          <w:sz w:val="32"/>
          <w:szCs w:val="32"/>
        </w:rPr>
        <w:t>8</w:t>
      </w:r>
      <w:r>
        <w:rPr>
          <w:rFonts w:hint="eastAsia"/>
          <w:sz w:val="32"/>
          <w:szCs w:val="32"/>
        </w:rPr>
        <w:t>日下班</w:t>
      </w:r>
      <w:r>
        <w:rPr>
          <w:rFonts w:hint="eastAsia"/>
          <w:sz w:val="32"/>
          <w:szCs w:val="32"/>
        </w:rPr>
        <w:t>前完成。</w:t>
      </w:r>
    </w:p>
    <w:p w:rsidR="007A1121" w:rsidRDefault="00BD21D3">
      <w:pPr>
        <w:rPr>
          <w:sz w:val="32"/>
          <w:szCs w:val="32"/>
        </w:rPr>
      </w:pPr>
      <w:r>
        <w:rPr>
          <w:rFonts w:hint="eastAsia"/>
          <w:b/>
          <w:bCs/>
          <w:sz w:val="32"/>
          <w:szCs w:val="32"/>
        </w:rPr>
        <w:t xml:space="preserve"> 2</w:t>
      </w:r>
      <w:r>
        <w:rPr>
          <w:rFonts w:hint="eastAsia"/>
          <w:b/>
          <w:bCs/>
          <w:sz w:val="32"/>
          <w:szCs w:val="32"/>
        </w:rPr>
        <w:t>．组织考察。</w:t>
      </w:r>
      <w:r>
        <w:rPr>
          <w:rFonts w:hint="eastAsia"/>
          <w:sz w:val="32"/>
          <w:szCs w:val="32"/>
        </w:rPr>
        <w:t>按照省委提出的代表条件，省高校工委对代表人选进行差额考察，发布考察预</w:t>
      </w:r>
      <w:r>
        <w:rPr>
          <w:rFonts w:hint="eastAsia"/>
          <w:sz w:val="32"/>
          <w:szCs w:val="32"/>
        </w:rPr>
        <w:t>告，充分听取基层党组织、党代表、党员和群众的意见。</w:t>
      </w:r>
    </w:p>
    <w:p w:rsidR="007A1121" w:rsidRDefault="00BD21D3">
      <w:pPr>
        <w:rPr>
          <w:sz w:val="32"/>
          <w:szCs w:val="32"/>
        </w:rPr>
      </w:pPr>
      <w:r>
        <w:rPr>
          <w:rFonts w:hint="eastAsia"/>
          <w:sz w:val="32"/>
          <w:szCs w:val="32"/>
        </w:rPr>
        <w:t xml:space="preserve">    </w:t>
      </w:r>
      <w:r>
        <w:rPr>
          <w:rFonts w:hint="eastAsia"/>
          <w:sz w:val="32"/>
          <w:szCs w:val="32"/>
        </w:rPr>
        <w:t>要严把人选政治关，坚持把政治标准放在首位，着重了解严守政治纪律和政治规矩，牢固树立“四个意识</w:t>
      </w:r>
      <w:r>
        <w:rPr>
          <w:rFonts w:hint="eastAsia"/>
          <w:sz w:val="32"/>
          <w:szCs w:val="32"/>
        </w:rPr>
        <w:t>”</w:t>
      </w:r>
      <w:r>
        <w:rPr>
          <w:rFonts w:hint="eastAsia"/>
          <w:sz w:val="32"/>
          <w:szCs w:val="32"/>
        </w:rPr>
        <w:t>，对党忠诚，同党中央保持高度一致，自觉维护党中央权威等方面的表现</w:t>
      </w:r>
      <w:r>
        <w:rPr>
          <w:rFonts w:hint="eastAsia"/>
          <w:sz w:val="32"/>
          <w:szCs w:val="32"/>
        </w:rPr>
        <w:t>情</w:t>
      </w:r>
      <w:r>
        <w:rPr>
          <w:rFonts w:hint="eastAsia"/>
          <w:sz w:val="32"/>
          <w:szCs w:val="32"/>
        </w:rPr>
        <w:t>况。要严把人选廉洁关，落实“四必</w:t>
      </w:r>
      <w:r>
        <w:rPr>
          <w:rFonts w:hint="eastAsia"/>
          <w:sz w:val="32"/>
          <w:szCs w:val="32"/>
        </w:rPr>
        <w:t>”</w:t>
      </w:r>
      <w:r>
        <w:rPr>
          <w:rFonts w:hint="eastAsia"/>
          <w:sz w:val="32"/>
          <w:szCs w:val="32"/>
        </w:rPr>
        <w:t>要求，即所有考察对象的有关档案，包括干部人事档案和党员档案等必审；所有考察对象必须听取纪检机关的意见；所有反映考察对象违纪违法线索具体、具有可查性的信访举报必查；考察</w:t>
      </w:r>
      <w:r>
        <w:rPr>
          <w:rFonts w:hint="eastAsia"/>
          <w:sz w:val="32"/>
          <w:szCs w:val="32"/>
        </w:rPr>
        <w:lastRenderedPageBreak/>
        <w:t>对象是党员领导干部的个人有关事项报告必核，防止“带病提名</w:t>
      </w:r>
      <w:r>
        <w:rPr>
          <w:rFonts w:hint="eastAsia"/>
          <w:sz w:val="32"/>
          <w:szCs w:val="32"/>
        </w:rPr>
        <w:t>”</w:t>
      </w:r>
      <w:r>
        <w:rPr>
          <w:rFonts w:hint="eastAsia"/>
          <w:sz w:val="32"/>
          <w:szCs w:val="32"/>
        </w:rPr>
        <w:t>。</w:t>
      </w:r>
    </w:p>
    <w:p w:rsidR="007A1121" w:rsidRDefault="00BD21D3">
      <w:pPr>
        <w:numPr>
          <w:ilvl w:val="0"/>
          <w:numId w:val="1"/>
        </w:numPr>
        <w:ind w:firstLine="640"/>
        <w:rPr>
          <w:sz w:val="32"/>
          <w:szCs w:val="32"/>
        </w:rPr>
      </w:pPr>
      <w:r>
        <w:rPr>
          <w:rFonts w:hint="eastAsia"/>
          <w:b/>
          <w:bCs/>
          <w:sz w:val="32"/>
          <w:szCs w:val="32"/>
        </w:rPr>
        <w:t>确定代表候选人初步人选名单。</w:t>
      </w:r>
      <w:r>
        <w:rPr>
          <w:rFonts w:hint="eastAsia"/>
          <w:sz w:val="32"/>
          <w:szCs w:val="32"/>
        </w:rPr>
        <w:t>省</w:t>
      </w:r>
      <w:r>
        <w:rPr>
          <w:rFonts w:hint="eastAsia"/>
          <w:sz w:val="32"/>
          <w:szCs w:val="32"/>
        </w:rPr>
        <w:t>高校工委根据省委分配的代表名额及代表条件、结构比例以及考察情况，按照多于代表</w:t>
      </w:r>
      <w:r>
        <w:rPr>
          <w:rFonts w:hint="eastAsia"/>
          <w:sz w:val="32"/>
          <w:szCs w:val="32"/>
        </w:rPr>
        <w:t>22%</w:t>
      </w:r>
      <w:r>
        <w:rPr>
          <w:rFonts w:hint="eastAsia"/>
          <w:sz w:val="32"/>
          <w:szCs w:val="32"/>
        </w:rPr>
        <w:t>的比例，研究提出代表候选人初步人选建议名单，征求同级纪委意见。</w:t>
      </w:r>
    </w:p>
    <w:p w:rsidR="007A1121" w:rsidRDefault="00BD21D3">
      <w:pPr>
        <w:ind w:firstLine="640"/>
        <w:rPr>
          <w:sz w:val="32"/>
          <w:szCs w:val="32"/>
        </w:rPr>
      </w:pPr>
      <w:r>
        <w:rPr>
          <w:rFonts w:hint="eastAsia"/>
          <w:b/>
          <w:bCs/>
          <w:sz w:val="32"/>
          <w:szCs w:val="32"/>
        </w:rPr>
        <w:t>4</w:t>
      </w:r>
      <w:r>
        <w:rPr>
          <w:rFonts w:hint="eastAsia"/>
          <w:b/>
          <w:bCs/>
          <w:sz w:val="32"/>
          <w:szCs w:val="32"/>
        </w:rPr>
        <w:t>．确定代表候选人预备人选并公示。</w:t>
      </w:r>
      <w:r>
        <w:rPr>
          <w:rFonts w:hint="eastAsia"/>
          <w:sz w:val="32"/>
          <w:szCs w:val="32"/>
        </w:rPr>
        <w:t>召开省高校工委会议，投票确定代表候选人预备人选。</w:t>
      </w:r>
    </w:p>
    <w:p w:rsidR="007A1121" w:rsidRDefault="00BD21D3">
      <w:pPr>
        <w:rPr>
          <w:sz w:val="32"/>
          <w:szCs w:val="32"/>
        </w:rPr>
      </w:pPr>
      <w:r>
        <w:rPr>
          <w:rFonts w:hint="eastAsia"/>
          <w:b/>
          <w:bCs/>
          <w:sz w:val="32"/>
          <w:szCs w:val="32"/>
        </w:rPr>
        <w:t>5</w:t>
      </w:r>
      <w:r>
        <w:rPr>
          <w:rFonts w:hint="eastAsia"/>
          <w:b/>
          <w:bCs/>
          <w:sz w:val="32"/>
          <w:szCs w:val="32"/>
        </w:rPr>
        <w:t>．代表选举。</w:t>
      </w:r>
      <w:r>
        <w:rPr>
          <w:rFonts w:hint="eastAsia"/>
          <w:sz w:val="32"/>
          <w:szCs w:val="32"/>
        </w:rPr>
        <w:t>省委组织部批复后，召开吉林省高校系统党代表会议，直接采用差额选举办法进行正式选举，差额选举的比例不低于</w:t>
      </w:r>
      <w:r>
        <w:rPr>
          <w:rFonts w:hint="eastAsia"/>
          <w:sz w:val="32"/>
          <w:szCs w:val="32"/>
        </w:rPr>
        <w:t>22%</w:t>
      </w:r>
      <w:r>
        <w:rPr>
          <w:rFonts w:hint="eastAsia"/>
          <w:sz w:val="32"/>
          <w:szCs w:val="32"/>
        </w:rPr>
        <w:t>。</w:t>
      </w:r>
    </w:p>
    <w:p w:rsidR="007A1121" w:rsidRDefault="00BD21D3">
      <w:pPr>
        <w:rPr>
          <w:b/>
          <w:bCs/>
          <w:sz w:val="32"/>
          <w:szCs w:val="32"/>
        </w:rPr>
      </w:pPr>
      <w:r>
        <w:rPr>
          <w:rFonts w:hint="eastAsia"/>
          <w:b/>
          <w:bCs/>
          <w:sz w:val="32"/>
          <w:szCs w:val="32"/>
        </w:rPr>
        <w:t>五</w:t>
      </w:r>
      <w:r>
        <w:rPr>
          <w:rFonts w:hint="eastAsia"/>
          <w:b/>
          <w:bCs/>
          <w:sz w:val="32"/>
          <w:szCs w:val="32"/>
        </w:rPr>
        <w:t>、组织领导</w:t>
      </w:r>
    </w:p>
    <w:p w:rsidR="007A1121" w:rsidRDefault="00BD21D3">
      <w:pPr>
        <w:rPr>
          <w:sz w:val="32"/>
          <w:szCs w:val="32"/>
        </w:rPr>
      </w:pPr>
      <w:r>
        <w:rPr>
          <w:rFonts w:hint="eastAsia"/>
          <w:sz w:val="32"/>
          <w:szCs w:val="32"/>
        </w:rPr>
        <w:t xml:space="preserve">    </w:t>
      </w:r>
      <w:r>
        <w:rPr>
          <w:rFonts w:hint="eastAsia"/>
          <w:sz w:val="32"/>
          <w:szCs w:val="32"/>
        </w:rPr>
        <w:t>选好省十一次党代会代表</w:t>
      </w:r>
      <w:r>
        <w:rPr>
          <w:rFonts w:hint="eastAsia"/>
          <w:sz w:val="32"/>
          <w:szCs w:val="32"/>
        </w:rPr>
        <w:t>和党的第十九次全国代表大会代表，</w:t>
      </w:r>
      <w:r>
        <w:rPr>
          <w:rFonts w:hint="eastAsia"/>
          <w:sz w:val="32"/>
          <w:szCs w:val="32"/>
        </w:rPr>
        <w:t>对开好省十一次党代会</w:t>
      </w:r>
      <w:r>
        <w:rPr>
          <w:rFonts w:hint="eastAsia"/>
          <w:sz w:val="32"/>
          <w:szCs w:val="32"/>
        </w:rPr>
        <w:t>和党的十九大</w:t>
      </w:r>
      <w:r>
        <w:rPr>
          <w:rFonts w:hint="eastAsia"/>
          <w:sz w:val="32"/>
          <w:szCs w:val="32"/>
        </w:rPr>
        <w:t>具有十分重要的意义。</w:t>
      </w:r>
      <w:r>
        <w:rPr>
          <w:rFonts w:hint="eastAsia"/>
          <w:sz w:val="32"/>
          <w:szCs w:val="32"/>
        </w:rPr>
        <w:t>学</w:t>
      </w:r>
      <w:r>
        <w:rPr>
          <w:rFonts w:hint="eastAsia"/>
          <w:sz w:val="32"/>
          <w:szCs w:val="32"/>
        </w:rPr>
        <w:t>校党委把此项工作摆到重要位置，切实加强领导，周密安排部署，高标准完成好代表推荐工作。</w:t>
      </w:r>
    </w:p>
    <w:p w:rsidR="007A1121" w:rsidRDefault="00BD21D3">
      <w:pPr>
        <w:ind w:firstLine="420"/>
        <w:rPr>
          <w:sz w:val="32"/>
          <w:szCs w:val="32"/>
        </w:rPr>
      </w:pPr>
      <w:r>
        <w:rPr>
          <w:rFonts w:hint="eastAsia"/>
          <w:b/>
          <w:bCs/>
          <w:sz w:val="32"/>
          <w:szCs w:val="32"/>
        </w:rPr>
        <w:t>1</w:t>
      </w:r>
      <w:r>
        <w:rPr>
          <w:rFonts w:hint="eastAsia"/>
          <w:b/>
          <w:bCs/>
          <w:sz w:val="32"/>
          <w:szCs w:val="32"/>
        </w:rPr>
        <w:t>．强化政治责任。</w:t>
      </w:r>
      <w:r>
        <w:rPr>
          <w:rFonts w:hint="eastAsia"/>
          <w:sz w:val="32"/>
          <w:szCs w:val="32"/>
        </w:rPr>
        <w:t>学校</w:t>
      </w:r>
      <w:r>
        <w:rPr>
          <w:rFonts w:hint="eastAsia"/>
          <w:sz w:val="32"/>
          <w:szCs w:val="32"/>
        </w:rPr>
        <w:t>成立</w:t>
      </w:r>
      <w:r>
        <w:rPr>
          <w:rFonts w:hint="eastAsia"/>
          <w:sz w:val="32"/>
          <w:szCs w:val="32"/>
        </w:rPr>
        <w:t>推荐选举吉林省出席党的第十九次全国代表大会代表、省十一次党代会代表人选工作</w:t>
      </w:r>
      <w:r>
        <w:rPr>
          <w:rFonts w:hint="eastAsia"/>
          <w:sz w:val="32"/>
          <w:szCs w:val="32"/>
        </w:rPr>
        <w:t>领导小组，组长由学校党委书记史美君同志、院长胡明同志担任，副组长由副院长马凯，纪委书记王玉秋，副院长苏建国等</w:t>
      </w:r>
      <w:r>
        <w:rPr>
          <w:rFonts w:hint="eastAsia"/>
          <w:sz w:val="32"/>
          <w:szCs w:val="32"/>
        </w:rPr>
        <w:t>3</w:t>
      </w:r>
      <w:r>
        <w:rPr>
          <w:rFonts w:hint="eastAsia"/>
          <w:sz w:val="32"/>
          <w:szCs w:val="32"/>
        </w:rPr>
        <w:t>名同志</w:t>
      </w:r>
      <w:r>
        <w:rPr>
          <w:rFonts w:hint="eastAsia"/>
          <w:sz w:val="32"/>
          <w:szCs w:val="32"/>
        </w:rPr>
        <w:t>担任。领导小组下设办公室，成员单位包括组织部、宣传部、纪检监察审计办公室。</w:t>
      </w:r>
      <w:r>
        <w:rPr>
          <w:rFonts w:hint="eastAsia"/>
          <w:sz w:val="32"/>
          <w:szCs w:val="32"/>
        </w:rPr>
        <w:t>代表人选推荐过程中要</w:t>
      </w:r>
      <w:r>
        <w:rPr>
          <w:rFonts w:hint="eastAsia"/>
          <w:sz w:val="32"/>
          <w:szCs w:val="32"/>
        </w:rPr>
        <w:lastRenderedPageBreak/>
        <w:t>严格按照党章、中央和省委的要求办事，认真贯彻执行民主集中制，充分发扬党内民主，尊重和保障党员、代表的民主权利，注重提</w:t>
      </w:r>
      <w:r>
        <w:rPr>
          <w:rFonts w:hint="eastAsia"/>
          <w:sz w:val="32"/>
          <w:szCs w:val="32"/>
        </w:rPr>
        <w:t>高民主质量和实效。要着重把好代表人选的政治关、廉洁关和身份关，确保将</w:t>
      </w:r>
      <w:r>
        <w:rPr>
          <w:rFonts w:hint="eastAsia"/>
          <w:sz w:val="32"/>
          <w:szCs w:val="32"/>
        </w:rPr>
        <w:t>学校</w:t>
      </w:r>
      <w:r>
        <w:rPr>
          <w:rFonts w:hint="eastAsia"/>
          <w:sz w:val="32"/>
          <w:szCs w:val="32"/>
        </w:rPr>
        <w:t>共产党员中最具有代表性的优秀分子推选上来。</w:t>
      </w:r>
    </w:p>
    <w:p w:rsidR="007A1121" w:rsidRDefault="00BD21D3">
      <w:pPr>
        <w:ind w:firstLine="640"/>
        <w:rPr>
          <w:sz w:val="32"/>
          <w:szCs w:val="32"/>
        </w:rPr>
      </w:pPr>
      <w:r>
        <w:rPr>
          <w:rFonts w:hint="eastAsia"/>
          <w:b/>
          <w:bCs/>
          <w:sz w:val="32"/>
          <w:szCs w:val="32"/>
        </w:rPr>
        <w:t>2</w:t>
      </w:r>
      <w:r>
        <w:rPr>
          <w:rFonts w:hint="eastAsia"/>
          <w:b/>
          <w:bCs/>
          <w:sz w:val="32"/>
          <w:szCs w:val="32"/>
        </w:rPr>
        <w:t>．严肃纪律要求。</w:t>
      </w:r>
      <w:r>
        <w:rPr>
          <w:rFonts w:hint="eastAsia"/>
          <w:sz w:val="32"/>
          <w:szCs w:val="32"/>
        </w:rPr>
        <w:t>要始终把纪律和规矩挺在前面，严肃政治纪律、组织纪律和选举纪律，坚持教育在先、警示在先、预防在先，结合“两学一做”学习教育，</w:t>
      </w:r>
      <w:r>
        <w:rPr>
          <w:rFonts w:hint="eastAsia"/>
          <w:sz w:val="32"/>
          <w:szCs w:val="32"/>
        </w:rPr>
        <w:t>各基层党</w:t>
      </w:r>
      <w:r>
        <w:rPr>
          <w:rFonts w:hint="eastAsia"/>
          <w:sz w:val="32"/>
          <w:szCs w:val="32"/>
        </w:rPr>
        <w:t>组织</w:t>
      </w:r>
      <w:r>
        <w:rPr>
          <w:rFonts w:hint="eastAsia"/>
          <w:sz w:val="32"/>
          <w:szCs w:val="32"/>
        </w:rPr>
        <w:t>要组织</w:t>
      </w:r>
      <w:r>
        <w:rPr>
          <w:rFonts w:hint="eastAsia"/>
          <w:sz w:val="32"/>
          <w:szCs w:val="32"/>
        </w:rPr>
        <w:t>党员干部认真学习中央和</w:t>
      </w:r>
      <w:r w:rsidR="00362B83">
        <w:rPr>
          <w:rFonts w:hint="eastAsia"/>
          <w:sz w:val="32"/>
          <w:szCs w:val="32"/>
        </w:rPr>
        <w:t>省委关于严肃纪律的各项规定，充分运用辽宁和湖南衡阳、四川南充等地</w:t>
      </w:r>
      <w:r>
        <w:rPr>
          <w:rFonts w:hint="eastAsia"/>
          <w:sz w:val="32"/>
          <w:szCs w:val="32"/>
        </w:rPr>
        <w:t>拉票贿选、破坏选举的典型案例，开展警示教育，汲取教训、引以为戒。要加强对工作的全程监督，坚决杜绝拉票贿选等不正之风，对违规违纪问题实行“零容忍”，一经发</w:t>
      </w:r>
      <w:r>
        <w:rPr>
          <w:rFonts w:hint="eastAsia"/>
          <w:sz w:val="32"/>
          <w:szCs w:val="32"/>
        </w:rPr>
        <w:t>现坚决查处，决不姑息迁就，确保风清气正。</w:t>
      </w:r>
    </w:p>
    <w:p w:rsidR="007A1121" w:rsidRDefault="00BD21D3">
      <w:pPr>
        <w:rPr>
          <w:sz w:val="32"/>
          <w:szCs w:val="32"/>
        </w:rPr>
      </w:pPr>
      <w:r>
        <w:rPr>
          <w:rFonts w:hint="eastAsia"/>
          <w:b/>
          <w:bCs/>
          <w:sz w:val="32"/>
          <w:szCs w:val="32"/>
        </w:rPr>
        <w:t>3</w:t>
      </w:r>
      <w:r>
        <w:rPr>
          <w:rFonts w:hint="eastAsia"/>
          <w:b/>
          <w:bCs/>
          <w:sz w:val="32"/>
          <w:szCs w:val="32"/>
        </w:rPr>
        <w:t>．严密组织实施。</w:t>
      </w:r>
      <w:r>
        <w:rPr>
          <w:rFonts w:hint="eastAsia"/>
          <w:sz w:val="32"/>
          <w:szCs w:val="32"/>
        </w:rPr>
        <w:t>各</w:t>
      </w:r>
      <w:r>
        <w:rPr>
          <w:rFonts w:hint="eastAsia"/>
          <w:sz w:val="32"/>
          <w:szCs w:val="32"/>
        </w:rPr>
        <w:t>党总支</w:t>
      </w:r>
      <w:r>
        <w:rPr>
          <w:rFonts w:hint="eastAsia"/>
          <w:sz w:val="32"/>
          <w:szCs w:val="32"/>
        </w:rPr>
        <w:t>要科学统筹、严密组织，</w:t>
      </w:r>
    </w:p>
    <w:p w:rsidR="007A1121" w:rsidRDefault="00BD21D3">
      <w:pPr>
        <w:rPr>
          <w:sz w:val="32"/>
          <w:szCs w:val="32"/>
        </w:rPr>
      </w:pPr>
      <w:r>
        <w:rPr>
          <w:rFonts w:hint="eastAsia"/>
          <w:sz w:val="32"/>
          <w:szCs w:val="32"/>
        </w:rPr>
        <w:t>确保基层党</w:t>
      </w:r>
      <w:r>
        <w:rPr>
          <w:rFonts w:hint="eastAsia"/>
          <w:sz w:val="32"/>
          <w:szCs w:val="32"/>
        </w:rPr>
        <w:t>支部</w:t>
      </w:r>
      <w:r>
        <w:rPr>
          <w:rFonts w:hint="eastAsia"/>
          <w:sz w:val="32"/>
          <w:szCs w:val="32"/>
        </w:rPr>
        <w:t>和党员参与率。针对流动党员、离退休党员和体弱多病、行动不便的党员，要在全面组织发动的基础上，充分考虑这部分党员的实际情况，有针对性地做好工作，尽最大可能保证参与率，力争让每名党员都能了解党代会代表选举的相关要求，知晓参与推荐提名的方法途径。可采取电话、信函、网络联系和上门走访等方式，通报有关情况，听取他们的意见，组织开展推荐提名。</w:t>
      </w:r>
    </w:p>
    <w:p w:rsidR="007A1121" w:rsidRDefault="00BD21D3">
      <w:pPr>
        <w:rPr>
          <w:sz w:val="32"/>
          <w:szCs w:val="32"/>
        </w:rPr>
      </w:pPr>
      <w:r>
        <w:rPr>
          <w:rFonts w:hint="eastAsia"/>
          <w:b/>
          <w:bCs/>
          <w:sz w:val="32"/>
          <w:szCs w:val="32"/>
        </w:rPr>
        <w:lastRenderedPageBreak/>
        <w:t>4</w:t>
      </w:r>
      <w:r>
        <w:rPr>
          <w:rFonts w:hint="eastAsia"/>
          <w:b/>
          <w:bCs/>
          <w:sz w:val="32"/>
          <w:szCs w:val="32"/>
        </w:rPr>
        <w:t>．做好思想工作。</w:t>
      </w:r>
      <w:r>
        <w:rPr>
          <w:rFonts w:hint="eastAsia"/>
          <w:sz w:val="32"/>
          <w:szCs w:val="32"/>
        </w:rPr>
        <w:t>各</w:t>
      </w:r>
      <w:r>
        <w:rPr>
          <w:rFonts w:hint="eastAsia"/>
          <w:sz w:val="32"/>
          <w:szCs w:val="32"/>
        </w:rPr>
        <w:t>基层党组织要</w:t>
      </w:r>
      <w:r>
        <w:rPr>
          <w:rFonts w:hint="eastAsia"/>
          <w:sz w:val="32"/>
          <w:szCs w:val="32"/>
        </w:rPr>
        <w:t>教育引导党员正确领会中央精神，</w:t>
      </w:r>
      <w:r>
        <w:rPr>
          <w:rFonts w:hint="eastAsia"/>
          <w:sz w:val="32"/>
          <w:szCs w:val="32"/>
        </w:rPr>
        <w:t>以</w:t>
      </w:r>
      <w:r>
        <w:rPr>
          <w:rFonts w:hint="eastAsia"/>
          <w:sz w:val="32"/>
          <w:szCs w:val="32"/>
        </w:rPr>
        <w:t>党的事业</w:t>
      </w:r>
      <w:r>
        <w:rPr>
          <w:rFonts w:hint="eastAsia"/>
          <w:sz w:val="32"/>
          <w:szCs w:val="32"/>
        </w:rPr>
        <w:t>和人民利益为重，正确行使民主权利；教育引导党员、干部正确对待推荐提名和选举结果，正确对待落选的同志，鼓励没有被推荐提名或没有当选的同志放下思想包袱、继续做好工作，切实把广大党员干部的思想统一到中央精神上来，使党代会代表产生过程成为理想信念教育和党性党风教育的过程，成为党内政治生活生动实践和民主集中制教育的过程，成为落实全面从严治党要求、不断推进党的建设新的伟大工程的过程。</w:t>
      </w:r>
    </w:p>
    <w:p w:rsidR="007A1121" w:rsidRDefault="00BD21D3">
      <w:pPr>
        <w:rPr>
          <w:sz w:val="32"/>
          <w:szCs w:val="32"/>
        </w:rPr>
      </w:pPr>
      <w:r>
        <w:rPr>
          <w:rFonts w:hint="eastAsia"/>
          <w:b/>
          <w:bCs/>
          <w:sz w:val="32"/>
          <w:szCs w:val="32"/>
        </w:rPr>
        <w:t xml:space="preserve"> 5</w:t>
      </w:r>
      <w:r>
        <w:rPr>
          <w:rFonts w:hint="eastAsia"/>
          <w:b/>
          <w:bCs/>
          <w:sz w:val="32"/>
          <w:szCs w:val="32"/>
        </w:rPr>
        <w:t>．搞好舆论宣传。</w:t>
      </w:r>
      <w:r>
        <w:rPr>
          <w:rFonts w:hint="eastAsia"/>
          <w:sz w:val="32"/>
          <w:szCs w:val="32"/>
        </w:rPr>
        <w:t>学校注重</w:t>
      </w:r>
      <w:r>
        <w:rPr>
          <w:rFonts w:hint="eastAsia"/>
          <w:sz w:val="32"/>
          <w:szCs w:val="32"/>
        </w:rPr>
        <w:t>党代会代表人选的先进性和广泛代表性，宣传生产和工作第一线代表人选的先进模范事迹，宣传代表产生过程中发扬党内民</w:t>
      </w:r>
      <w:r>
        <w:rPr>
          <w:rFonts w:hint="eastAsia"/>
          <w:sz w:val="32"/>
          <w:szCs w:val="32"/>
        </w:rPr>
        <w:t>主、走群众路线的新做法新举措，营造良好的舆论环境。同时，要密切关注舆情，加强舆论指导，及时、妥善应对网络信息，严防负面炒作和境内外敌对势力造谣干扰，切实做到可防、可管、可控。</w:t>
      </w:r>
    </w:p>
    <w:p w:rsidR="007A1121" w:rsidRDefault="007A1121">
      <w:pPr>
        <w:rPr>
          <w:sz w:val="32"/>
          <w:szCs w:val="32"/>
        </w:rPr>
      </w:pPr>
    </w:p>
    <w:p w:rsidR="007A1121" w:rsidRDefault="00BD21D3">
      <w:pPr>
        <w:rPr>
          <w:sz w:val="32"/>
          <w:szCs w:val="32"/>
        </w:rPr>
      </w:pPr>
      <w:r>
        <w:rPr>
          <w:rFonts w:hint="eastAsia"/>
          <w:sz w:val="32"/>
          <w:szCs w:val="32"/>
        </w:rPr>
        <w:t>附件：《省第十一次</w:t>
      </w:r>
      <w:r>
        <w:rPr>
          <w:rFonts w:hint="eastAsia"/>
          <w:sz w:val="32"/>
          <w:szCs w:val="32"/>
        </w:rPr>
        <w:t>党代会、党的十九大</w:t>
      </w:r>
      <w:r>
        <w:rPr>
          <w:rFonts w:hint="eastAsia"/>
          <w:sz w:val="32"/>
          <w:szCs w:val="32"/>
        </w:rPr>
        <w:t>代表候选人建议人选名册》</w:t>
      </w:r>
    </w:p>
    <w:p w:rsidR="007A1121" w:rsidRDefault="007A1121">
      <w:pPr>
        <w:rPr>
          <w:sz w:val="32"/>
          <w:szCs w:val="32"/>
        </w:rPr>
      </w:pPr>
    </w:p>
    <w:p w:rsidR="007A1121" w:rsidRDefault="007A1121">
      <w:pPr>
        <w:ind w:firstLine="640"/>
        <w:rPr>
          <w:sz w:val="32"/>
          <w:szCs w:val="32"/>
        </w:rPr>
      </w:pPr>
    </w:p>
    <w:p w:rsidR="007A1121" w:rsidRDefault="00BD21D3">
      <w:pPr>
        <w:jc w:val="center"/>
        <w:rPr>
          <w:sz w:val="32"/>
          <w:szCs w:val="32"/>
        </w:rPr>
      </w:pPr>
      <w:r>
        <w:rPr>
          <w:rFonts w:hint="eastAsia"/>
          <w:sz w:val="32"/>
          <w:szCs w:val="32"/>
        </w:rPr>
        <w:t>中共吉林</w:t>
      </w:r>
      <w:r>
        <w:rPr>
          <w:rFonts w:hint="eastAsia"/>
          <w:sz w:val="32"/>
          <w:szCs w:val="32"/>
        </w:rPr>
        <w:t>交通职业技术学院</w:t>
      </w:r>
      <w:r>
        <w:rPr>
          <w:rFonts w:hint="eastAsia"/>
          <w:sz w:val="32"/>
          <w:szCs w:val="32"/>
        </w:rPr>
        <w:t>委员会</w:t>
      </w:r>
    </w:p>
    <w:p w:rsidR="007A1121" w:rsidRDefault="00BD21D3">
      <w:pPr>
        <w:jc w:val="center"/>
        <w:rPr>
          <w:sz w:val="32"/>
          <w:szCs w:val="32"/>
        </w:rPr>
      </w:pPr>
      <w:r>
        <w:rPr>
          <w:rFonts w:hint="eastAsia"/>
          <w:sz w:val="32"/>
          <w:szCs w:val="32"/>
        </w:rPr>
        <w:t xml:space="preserve">             2016</w:t>
      </w:r>
      <w:r>
        <w:rPr>
          <w:rFonts w:hint="eastAsia"/>
          <w:sz w:val="32"/>
          <w:szCs w:val="32"/>
        </w:rPr>
        <w:t>年</w:t>
      </w:r>
      <w:r>
        <w:rPr>
          <w:rFonts w:hint="eastAsia"/>
          <w:sz w:val="32"/>
          <w:szCs w:val="32"/>
        </w:rPr>
        <w:t>12</w:t>
      </w:r>
      <w:r>
        <w:rPr>
          <w:rFonts w:hint="eastAsia"/>
          <w:sz w:val="32"/>
          <w:szCs w:val="32"/>
        </w:rPr>
        <w:t>月</w:t>
      </w:r>
      <w:r>
        <w:rPr>
          <w:rFonts w:hint="eastAsia"/>
          <w:sz w:val="32"/>
          <w:szCs w:val="32"/>
        </w:rPr>
        <w:t>7</w:t>
      </w:r>
      <w:r>
        <w:rPr>
          <w:rFonts w:hint="eastAsia"/>
          <w:sz w:val="32"/>
          <w:szCs w:val="32"/>
        </w:rPr>
        <w:t>日</w:t>
      </w:r>
    </w:p>
    <w:p w:rsidR="007A1121" w:rsidRDefault="007A1121">
      <w:pPr>
        <w:rPr>
          <w:sz w:val="32"/>
          <w:szCs w:val="32"/>
        </w:rPr>
        <w:sectPr w:rsidR="007A1121">
          <w:footerReference w:type="default" r:id="rId8"/>
          <w:pgSz w:w="11906" w:h="16838"/>
          <w:pgMar w:top="1440" w:right="1800" w:bottom="1440" w:left="1800" w:header="851" w:footer="992" w:gutter="0"/>
          <w:cols w:space="425"/>
          <w:docGrid w:type="lines" w:linePitch="312"/>
        </w:sectPr>
      </w:pPr>
    </w:p>
    <w:p w:rsidR="007A1121" w:rsidRDefault="00BD21D3">
      <w:pPr>
        <w:pStyle w:val="1"/>
        <w:ind w:firstLineChars="0" w:firstLine="0"/>
        <w:jc w:val="center"/>
        <w:rPr>
          <w:rFonts w:ascii="黑体" w:eastAsia="黑体" w:hAnsi="黑体" w:cs="宋体"/>
          <w:b/>
          <w:bCs/>
          <w:color w:val="000000"/>
          <w:kern w:val="0"/>
          <w:sz w:val="32"/>
          <w:szCs w:val="32"/>
        </w:rPr>
      </w:pPr>
      <w:r>
        <w:rPr>
          <w:rFonts w:hint="eastAsia"/>
          <w:b/>
          <w:bCs/>
          <w:sz w:val="32"/>
          <w:szCs w:val="32"/>
        </w:rPr>
        <w:lastRenderedPageBreak/>
        <w:t>省第十一次</w:t>
      </w:r>
      <w:r>
        <w:rPr>
          <w:rFonts w:hint="eastAsia"/>
          <w:b/>
          <w:bCs/>
          <w:sz w:val="32"/>
          <w:szCs w:val="32"/>
        </w:rPr>
        <w:t>党代会、党的十九大</w:t>
      </w:r>
      <w:r>
        <w:rPr>
          <w:rFonts w:hint="eastAsia"/>
          <w:b/>
          <w:bCs/>
          <w:sz w:val="32"/>
          <w:szCs w:val="32"/>
        </w:rPr>
        <w:t>代表候选人建议人选名册</w:t>
      </w:r>
    </w:p>
    <w:tbl>
      <w:tblPr>
        <w:tblW w:w="14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4253"/>
        <w:gridCol w:w="1129"/>
        <w:gridCol w:w="1306"/>
        <w:gridCol w:w="1193"/>
        <w:gridCol w:w="1626"/>
        <w:gridCol w:w="1669"/>
        <w:gridCol w:w="1605"/>
        <w:gridCol w:w="987"/>
      </w:tblGrid>
      <w:tr w:rsidR="007A1121">
        <w:trPr>
          <w:trHeight w:val="504"/>
          <w:jc w:val="center"/>
        </w:trPr>
        <w:tc>
          <w:tcPr>
            <w:tcW w:w="1228" w:type="dxa"/>
            <w:vMerge w:val="restart"/>
            <w:vAlign w:val="center"/>
          </w:tcPr>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姓名</w:t>
            </w:r>
          </w:p>
        </w:tc>
        <w:tc>
          <w:tcPr>
            <w:tcW w:w="4253" w:type="dxa"/>
            <w:vMerge w:val="restart"/>
            <w:vAlign w:val="center"/>
          </w:tcPr>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现任职务</w:t>
            </w:r>
          </w:p>
        </w:tc>
        <w:tc>
          <w:tcPr>
            <w:tcW w:w="1129" w:type="dxa"/>
            <w:vMerge w:val="restart"/>
            <w:vAlign w:val="center"/>
          </w:tcPr>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籍贯</w:t>
            </w:r>
          </w:p>
        </w:tc>
        <w:tc>
          <w:tcPr>
            <w:tcW w:w="2499" w:type="dxa"/>
            <w:gridSpan w:val="2"/>
            <w:vAlign w:val="center"/>
          </w:tcPr>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学历</w:t>
            </w:r>
          </w:p>
        </w:tc>
        <w:tc>
          <w:tcPr>
            <w:tcW w:w="1626" w:type="dxa"/>
            <w:vMerge w:val="restart"/>
            <w:vAlign w:val="center"/>
          </w:tcPr>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出生年月</w:t>
            </w:r>
          </w:p>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（岁）</w:t>
            </w:r>
          </w:p>
        </w:tc>
        <w:tc>
          <w:tcPr>
            <w:tcW w:w="1669" w:type="dxa"/>
            <w:vMerge w:val="restart"/>
            <w:vAlign w:val="center"/>
          </w:tcPr>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入党时间</w:t>
            </w:r>
          </w:p>
        </w:tc>
        <w:tc>
          <w:tcPr>
            <w:tcW w:w="1605" w:type="dxa"/>
            <w:vMerge w:val="restart"/>
            <w:vAlign w:val="center"/>
          </w:tcPr>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参加工作时间</w:t>
            </w:r>
          </w:p>
        </w:tc>
        <w:tc>
          <w:tcPr>
            <w:tcW w:w="987" w:type="dxa"/>
            <w:vMerge w:val="restart"/>
            <w:vAlign w:val="center"/>
          </w:tcPr>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备注</w:t>
            </w:r>
          </w:p>
        </w:tc>
      </w:tr>
      <w:tr w:rsidR="007A1121">
        <w:trPr>
          <w:trHeight w:val="664"/>
          <w:jc w:val="center"/>
        </w:trPr>
        <w:tc>
          <w:tcPr>
            <w:tcW w:w="1228" w:type="dxa"/>
            <w:vMerge/>
          </w:tcPr>
          <w:p w:rsidR="007A1121" w:rsidRDefault="007A1121">
            <w:pPr>
              <w:snapToGrid w:val="0"/>
              <w:jc w:val="left"/>
              <w:rPr>
                <w:rFonts w:ascii="宋体" w:cs="宋体"/>
                <w:color w:val="000000"/>
                <w:kern w:val="0"/>
                <w:sz w:val="32"/>
                <w:szCs w:val="32"/>
              </w:rPr>
            </w:pPr>
          </w:p>
        </w:tc>
        <w:tc>
          <w:tcPr>
            <w:tcW w:w="4253" w:type="dxa"/>
            <w:vMerge/>
          </w:tcPr>
          <w:p w:rsidR="007A1121" w:rsidRDefault="007A1121">
            <w:pPr>
              <w:snapToGrid w:val="0"/>
              <w:jc w:val="left"/>
              <w:rPr>
                <w:rFonts w:ascii="宋体" w:cs="宋体"/>
                <w:color w:val="000000"/>
                <w:kern w:val="0"/>
                <w:sz w:val="32"/>
                <w:szCs w:val="32"/>
              </w:rPr>
            </w:pPr>
          </w:p>
        </w:tc>
        <w:tc>
          <w:tcPr>
            <w:tcW w:w="1129" w:type="dxa"/>
            <w:vMerge/>
          </w:tcPr>
          <w:p w:rsidR="007A1121" w:rsidRDefault="007A1121">
            <w:pPr>
              <w:snapToGrid w:val="0"/>
              <w:jc w:val="left"/>
              <w:rPr>
                <w:rFonts w:ascii="宋体" w:cs="宋体"/>
                <w:color w:val="000000"/>
                <w:kern w:val="0"/>
                <w:sz w:val="32"/>
                <w:szCs w:val="32"/>
              </w:rPr>
            </w:pPr>
          </w:p>
        </w:tc>
        <w:tc>
          <w:tcPr>
            <w:tcW w:w="1306" w:type="dxa"/>
            <w:vAlign w:val="center"/>
          </w:tcPr>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全日制</w:t>
            </w:r>
          </w:p>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学历</w:t>
            </w:r>
          </w:p>
        </w:tc>
        <w:tc>
          <w:tcPr>
            <w:tcW w:w="1193" w:type="dxa"/>
            <w:vAlign w:val="center"/>
          </w:tcPr>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在职</w:t>
            </w:r>
          </w:p>
          <w:p w:rsidR="007A1121" w:rsidRDefault="00BD21D3">
            <w:pPr>
              <w:snapToGrid w:val="0"/>
              <w:jc w:val="center"/>
              <w:rPr>
                <w:rFonts w:ascii="宋体" w:cs="宋体"/>
                <w:color w:val="000000"/>
                <w:kern w:val="0"/>
                <w:sz w:val="32"/>
                <w:szCs w:val="32"/>
              </w:rPr>
            </w:pPr>
            <w:r>
              <w:rPr>
                <w:rFonts w:ascii="宋体" w:hAnsi="宋体" w:cs="宋体" w:hint="eastAsia"/>
                <w:color w:val="000000"/>
                <w:kern w:val="0"/>
                <w:sz w:val="32"/>
                <w:szCs w:val="32"/>
              </w:rPr>
              <w:t>学历</w:t>
            </w:r>
          </w:p>
        </w:tc>
        <w:tc>
          <w:tcPr>
            <w:tcW w:w="1626" w:type="dxa"/>
            <w:vMerge/>
          </w:tcPr>
          <w:p w:rsidR="007A1121" w:rsidRDefault="007A1121">
            <w:pPr>
              <w:snapToGrid w:val="0"/>
              <w:jc w:val="left"/>
              <w:rPr>
                <w:rFonts w:ascii="宋体" w:cs="宋体"/>
                <w:color w:val="000000"/>
                <w:kern w:val="0"/>
                <w:sz w:val="32"/>
                <w:szCs w:val="32"/>
              </w:rPr>
            </w:pPr>
          </w:p>
        </w:tc>
        <w:tc>
          <w:tcPr>
            <w:tcW w:w="1669" w:type="dxa"/>
            <w:vMerge/>
          </w:tcPr>
          <w:p w:rsidR="007A1121" w:rsidRDefault="007A1121">
            <w:pPr>
              <w:snapToGrid w:val="0"/>
              <w:jc w:val="left"/>
              <w:rPr>
                <w:rFonts w:ascii="宋体" w:cs="宋体"/>
                <w:color w:val="000000"/>
                <w:kern w:val="0"/>
                <w:sz w:val="32"/>
                <w:szCs w:val="32"/>
              </w:rPr>
            </w:pPr>
          </w:p>
        </w:tc>
        <w:tc>
          <w:tcPr>
            <w:tcW w:w="1605" w:type="dxa"/>
            <w:vMerge/>
          </w:tcPr>
          <w:p w:rsidR="007A1121" w:rsidRDefault="007A1121">
            <w:pPr>
              <w:snapToGrid w:val="0"/>
              <w:jc w:val="left"/>
              <w:rPr>
                <w:rFonts w:ascii="宋体" w:cs="宋体"/>
                <w:color w:val="000000"/>
                <w:kern w:val="0"/>
                <w:sz w:val="32"/>
                <w:szCs w:val="32"/>
              </w:rPr>
            </w:pPr>
          </w:p>
        </w:tc>
        <w:tc>
          <w:tcPr>
            <w:tcW w:w="987" w:type="dxa"/>
            <w:vMerge/>
          </w:tcPr>
          <w:p w:rsidR="007A1121" w:rsidRDefault="007A1121">
            <w:pPr>
              <w:snapToGrid w:val="0"/>
              <w:jc w:val="left"/>
              <w:rPr>
                <w:rFonts w:ascii="宋体" w:cs="宋体"/>
                <w:color w:val="000000"/>
                <w:kern w:val="0"/>
                <w:sz w:val="32"/>
                <w:szCs w:val="32"/>
              </w:rPr>
            </w:pPr>
          </w:p>
        </w:tc>
      </w:tr>
      <w:tr w:rsidR="007A1121">
        <w:trPr>
          <w:trHeight w:val="504"/>
          <w:jc w:val="center"/>
        </w:trPr>
        <w:tc>
          <w:tcPr>
            <w:tcW w:w="1228" w:type="dxa"/>
          </w:tcPr>
          <w:p w:rsidR="007A1121" w:rsidRDefault="007A1121">
            <w:pPr>
              <w:snapToGrid w:val="0"/>
              <w:jc w:val="left"/>
              <w:rPr>
                <w:rFonts w:ascii="宋体" w:cs="宋体"/>
                <w:color w:val="000000"/>
                <w:kern w:val="0"/>
                <w:sz w:val="32"/>
                <w:szCs w:val="32"/>
              </w:rPr>
            </w:pPr>
          </w:p>
        </w:tc>
        <w:tc>
          <w:tcPr>
            <w:tcW w:w="4253" w:type="dxa"/>
          </w:tcPr>
          <w:p w:rsidR="007A1121" w:rsidRDefault="007A1121">
            <w:pPr>
              <w:snapToGrid w:val="0"/>
              <w:jc w:val="left"/>
              <w:rPr>
                <w:rFonts w:ascii="宋体" w:cs="宋体"/>
                <w:color w:val="000000"/>
                <w:kern w:val="0"/>
                <w:sz w:val="32"/>
                <w:szCs w:val="32"/>
              </w:rPr>
            </w:pPr>
          </w:p>
        </w:tc>
        <w:tc>
          <w:tcPr>
            <w:tcW w:w="1129" w:type="dxa"/>
          </w:tcPr>
          <w:p w:rsidR="007A1121" w:rsidRDefault="007A1121">
            <w:pPr>
              <w:snapToGrid w:val="0"/>
              <w:jc w:val="left"/>
              <w:rPr>
                <w:rFonts w:ascii="宋体" w:cs="宋体"/>
                <w:color w:val="000000"/>
                <w:kern w:val="0"/>
                <w:sz w:val="32"/>
                <w:szCs w:val="32"/>
              </w:rPr>
            </w:pPr>
          </w:p>
        </w:tc>
        <w:tc>
          <w:tcPr>
            <w:tcW w:w="1306" w:type="dxa"/>
          </w:tcPr>
          <w:p w:rsidR="007A1121" w:rsidRDefault="007A1121">
            <w:pPr>
              <w:snapToGrid w:val="0"/>
              <w:jc w:val="left"/>
              <w:rPr>
                <w:rFonts w:ascii="宋体" w:cs="宋体"/>
                <w:color w:val="000000"/>
                <w:kern w:val="0"/>
                <w:sz w:val="32"/>
                <w:szCs w:val="32"/>
              </w:rPr>
            </w:pPr>
          </w:p>
        </w:tc>
        <w:tc>
          <w:tcPr>
            <w:tcW w:w="1193" w:type="dxa"/>
          </w:tcPr>
          <w:p w:rsidR="007A1121" w:rsidRDefault="007A1121">
            <w:pPr>
              <w:snapToGrid w:val="0"/>
              <w:jc w:val="left"/>
              <w:rPr>
                <w:rFonts w:ascii="宋体" w:cs="宋体"/>
                <w:color w:val="000000"/>
                <w:kern w:val="0"/>
                <w:sz w:val="32"/>
                <w:szCs w:val="32"/>
              </w:rPr>
            </w:pPr>
          </w:p>
        </w:tc>
        <w:tc>
          <w:tcPr>
            <w:tcW w:w="1626" w:type="dxa"/>
          </w:tcPr>
          <w:p w:rsidR="007A1121" w:rsidRDefault="007A1121">
            <w:pPr>
              <w:snapToGrid w:val="0"/>
              <w:jc w:val="left"/>
              <w:rPr>
                <w:rFonts w:ascii="宋体" w:cs="宋体"/>
                <w:color w:val="000000"/>
                <w:kern w:val="0"/>
                <w:sz w:val="32"/>
                <w:szCs w:val="32"/>
              </w:rPr>
            </w:pPr>
          </w:p>
        </w:tc>
        <w:tc>
          <w:tcPr>
            <w:tcW w:w="1669" w:type="dxa"/>
          </w:tcPr>
          <w:p w:rsidR="007A1121" w:rsidRDefault="007A1121">
            <w:pPr>
              <w:snapToGrid w:val="0"/>
              <w:jc w:val="left"/>
              <w:rPr>
                <w:rFonts w:ascii="宋体" w:cs="宋体"/>
                <w:color w:val="000000"/>
                <w:kern w:val="0"/>
                <w:sz w:val="32"/>
                <w:szCs w:val="32"/>
              </w:rPr>
            </w:pPr>
          </w:p>
        </w:tc>
        <w:tc>
          <w:tcPr>
            <w:tcW w:w="1605" w:type="dxa"/>
          </w:tcPr>
          <w:p w:rsidR="007A1121" w:rsidRDefault="007A1121">
            <w:pPr>
              <w:snapToGrid w:val="0"/>
              <w:jc w:val="left"/>
              <w:rPr>
                <w:rFonts w:ascii="宋体" w:cs="宋体"/>
                <w:color w:val="000000"/>
                <w:kern w:val="0"/>
                <w:sz w:val="32"/>
                <w:szCs w:val="32"/>
              </w:rPr>
            </w:pPr>
          </w:p>
        </w:tc>
        <w:tc>
          <w:tcPr>
            <w:tcW w:w="987" w:type="dxa"/>
          </w:tcPr>
          <w:p w:rsidR="007A1121" w:rsidRDefault="007A1121">
            <w:pPr>
              <w:snapToGrid w:val="0"/>
              <w:jc w:val="left"/>
              <w:rPr>
                <w:rFonts w:ascii="宋体" w:cs="宋体"/>
                <w:color w:val="000000"/>
                <w:kern w:val="0"/>
                <w:sz w:val="32"/>
                <w:szCs w:val="32"/>
              </w:rPr>
            </w:pPr>
          </w:p>
        </w:tc>
      </w:tr>
      <w:tr w:rsidR="007A1121">
        <w:trPr>
          <w:trHeight w:val="504"/>
          <w:jc w:val="center"/>
        </w:trPr>
        <w:tc>
          <w:tcPr>
            <w:tcW w:w="1228" w:type="dxa"/>
          </w:tcPr>
          <w:p w:rsidR="007A1121" w:rsidRDefault="007A1121">
            <w:pPr>
              <w:snapToGrid w:val="0"/>
              <w:jc w:val="left"/>
              <w:rPr>
                <w:rFonts w:ascii="仿宋" w:eastAsia="仿宋" w:hAnsi="仿宋" w:cs="宋体"/>
                <w:color w:val="000000"/>
                <w:kern w:val="0"/>
                <w:sz w:val="28"/>
                <w:szCs w:val="28"/>
              </w:rPr>
            </w:pPr>
          </w:p>
        </w:tc>
        <w:tc>
          <w:tcPr>
            <w:tcW w:w="4253" w:type="dxa"/>
          </w:tcPr>
          <w:p w:rsidR="007A1121" w:rsidRDefault="007A1121">
            <w:pPr>
              <w:snapToGrid w:val="0"/>
              <w:jc w:val="left"/>
              <w:rPr>
                <w:rFonts w:ascii="仿宋" w:eastAsia="仿宋" w:hAnsi="仿宋" w:cs="宋体"/>
                <w:color w:val="000000"/>
                <w:kern w:val="0"/>
                <w:sz w:val="28"/>
                <w:szCs w:val="28"/>
              </w:rPr>
            </w:pPr>
          </w:p>
        </w:tc>
        <w:tc>
          <w:tcPr>
            <w:tcW w:w="1129" w:type="dxa"/>
          </w:tcPr>
          <w:p w:rsidR="007A1121" w:rsidRDefault="007A1121">
            <w:pPr>
              <w:snapToGrid w:val="0"/>
              <w:jc w:val="left"/>
              <w:rPr>
                <w:rFonts w:ascii="仿宋" w:eastAsia="仿宋" w:hAnsi="仿宋" w:cs="宋体"/>
                <w:color w:val="000000"/>
                <w:kern w:val="0"/>
                <w:sz w:val="28"/>
                <w:szCs w:val="28"/>
              </w:rPr>
            </w:pPr>
          </w:p>
        </w:tc>
        <w:tc>
          <w:tcPr>
            <w:tcW w:w="1306" w:type="dxa"/>
          </w:tcPr>
          <w:p w:rsidR="007A1121" w:rsidRDefault="007A1121">
            <w:pPr>
              <w:snapToGrid w:val="0"/>
              <w:jc w:val="left"/>
              <w:rPr>
                <w:rFonts w:ascii="仿宋" w:eastAsia="仿宋" w:hAnsi="仿宋" w:cs="宋体"/>
                <w:color w:val="000000"/>
                <w:kern w:val="0"/>
                <w:sz w:val="28"/>
                <w:szCs w:val="28"/>
              </w:rPr>
            </w:pPr>
          </w:p>
        </w:tc>
        <w:tc>
          <w:tcPr>
            <w:tcW w:w="1193" w:type="dxa"/>
          </w:tcPr>
          <w:p w:rsidR="007A1121" w:rsidRDefault="007A1121">
            <w:pPr>
              <w:snapToGrid w:val="0"/>
              <w:jc w:val="left"/>
              <w:rPr>
                <w:rFonts w:ascii="仿宋" w:eastAsia="仿宋" w:hAnsi="仿宋" w:cs="宋体"/>
                <w:color w:val="000000"/>
                <w:kern w:val="0"/>
                <w:sz w:val="28"/>
                <w:szCs w:val="28"/>
              </w:rPr>
            </w:pPr>
          </w:p>
        </w:tc>
        <w:tc>
          <w:tcPr>
            <w:tcW w:w="1626" w:type="dxa"/>
          </w:tcPr>
          <w:p w:rsidR="007A1121" w:rsidRDefault="007A1121">
            <w:pPr>
              <w:snapToGrid w:val="0"/>
              <w:jc w:val="left"/>
              <w:rPr>
                <w:rFonts w:ascii="仿宋" w:eastAsia="仿宋" w:hAnsi="仿宋" w:cs="宋体"/>
                <w:color w:val="000000"/>
                <w:kern w:val="0"/>
                <w:sz w:val="28"/>
                <w:szCs w:val="28"/>
              </w:rPr>
            </w:pPr>
          </w:p>
        </w:tc>
        <w:tc>
          <w:tcPr>
            <w:tcW w:w="1669" w:type="dxa"/>
          </w:tcPr>
          <w:p w:rsidR="007A1121" w:rsidRDefault="007A1121">
            <w:pPr>
              <w:snapToGrid w:val="0"/>
              <w:jc w:val="left"/>
              <w:rPr>
                <w:rFonts w:ascii="仿宋" w:eastAsia="仿宋" w:hAnsi="仿宋" w:cs="宋体"/>
                <w:color w:val="000000"/>
                <w:kern w:val="0"/>
                <w:sz w:val="28"/>
                <w:szCs w:val="28"/>
              </w:rPr>
            </w:pPr>
          </w:p>
        </w:tc>
        <w:tc>
          <w:tcPr>
            <w:tcW w:w="1605" w:type="dxa"/>
          </w:tcPr>
          <w:p w:rsidR="007A1121" w:rsidRDefault="007A1121">
            <w:pPr>
              <w:snapToGrid w:val="0"/>
              <w:jc w:val="left"/>
              <w:rPr>
                <w:rFonts w:ascii="仿宋" w:eastAsia="仿宋" w:hAnsi="仿宋" w:cs="宋体"/>
                <w:color w:val="000000"/>
                <w:kern w:val="0"/>
                <w:sz w:val="28"/>
                <w:szCs w:val="28"/>
              </w:rPr>
            </w:pPr>
          </w:p>
        </w:tc>
        <w:tc>
          <w:tcPr>
            <w:tcW w:w="987" w:type="dxa"/>
          </w:tcPr>
          <w:p w:rsidR="007A1121" w:rsidRDefault="007A1121">
            <w:pPr>
              <w:snapToGrid w:val="0"/>
              <w:jc w:val="left"/>
              <w:rPr>
                <w:rFonts w:ascii="仿宋" w:eastAsia="仿宋" w:hAnsi="仿宋" w:cs="宋体"/>
                <w:color w:val="000000"/>
                <w:kern w:val="0"/>
                <w:sz w:val="28"/>
                <w:szCs w:val="28"/>
              </w:rPr>
            </w:pPr>
          </w:p>
        </w:tc>
      </w:tr>
      <w:tr w:rsidR="007A1121">
        <w:trPr>
          <w:trHeight w:val="504"/>
          <w:jc w:val="center"/>
        </w:trPr>
        <w:tc>
          <w:tcPr>
            <w:tcW w:w="1228" w:type="dxa"/>
          </w:tcPr>
          <w:p w:rsidR="007A1121" w:rsidRDefault="007A1121">
            <w:pPr>
              <w:snapToGrid w:val="0"/>
              <w:jc w:val="left"/>
              <w:rPr>
                <w:rFonts w:ascii="仿宋" w:eastAsia="仿宋" w:hAnsi="仿宋" w:cs="宋体"/>
                <w:color w:val="000000"/>
                <w:kern w:val="0"/>
                <w:sz w:val="28"/>
                <w:szCs w:val="28"/>
              </w:rPr>
            </w:pPr>
          </w:p>
        </w:tc>
        <w:tc>
          <w:tcPr>
            <w:tcW w:w="4253" w:type="dxa"/>
          </w:tcPr>
          <w:p w:rsidR="007A1121" w:rsidRDefault="007A1121">
            <w:pPr>
              <w:snapToGrid w:val="0"/>
              <w:jc w:val="left"/>
              <w:rPr>
                <w:rFonts w:ascii="仿宋" w:eastAsia="仿宋" w:hAnsi="仿宋" w:cs="宋体"/>
                <w:color w:val="000000"/>
                <w:kern w:val="0"/>
                <w:sz w:val="28"/>
                <w:szCs w:val="28"/>
              </w:rPr>
            </w:pPr>
          </w:p>
        </w:tc>
        <w:tc>
          <w:tcPr>
            <w:tcW w:w="1129" w:type="dxa"/>
          </w:tcPr>
          <w:p w:rsidR="007A1121" w:rsidRDefault="007A1121">
            <w:pPr>
              <w:snapToGrid w:val="0"/>
              <w:jc w:val="left"/>
              <w:rPr>
                <w:rFonts w:ascii="仿宋" w:eastAsia="仿宋" w:hAnsi="仿宋" w:cs="宋体"/>
                <w:color w:val="000000"/>
                <w:kern w:val="0"/>
                <w:sz w:val="28"/>
                <w:szCs w:val="28"/>
              </w:rPr>
            </w:pPr>
          </w:p>
        </w:tc>
        <w:tc>
          <w:tcPr>
            <w:tcW w:w="1306" w:type="dxa"/>
          </w:tcPr>
          <w:p w:rsidR="007A1121" w:rsidRDefault="007A1121">
            <w:pPr>
              <w:snapToGrid w:val="0"/>
              <w:jc w:val="left"/>
              <w:rPr>
                <w:rFonts w:ascii="仿宋" w:eastAsia="仿宋" w:hAnsi="仿宋" w:cs="宋体"/>
                <w:color w:val="000000"/>
                <w:kern w:val="0"/>
                <w:sz w:val="28"/>
                <w:szCs w:val="28"/>
              </w:rPr>
            </w:pPr>
          </w:p>
        </w:tc>
        <w:tc>
          <w:tcPr>
            <w:tcW w:w="1193" w:type="dxa"/>
          </w:tcPr>
          <w:p w:rsidR="007A1121" w:rsidRDefault="007A1121">
            <w:pPr>
              <w:snapToGrid w:val="0"/>
              <w:jc w:val="left"/>
              <w:rPr>
                <w:rFonts w:ascii="仿宋" w:eastAsia="仿宋" w:hAnsi="仿宋" w:cs="宋体"/>
                <w:color w:val="000000"/>
                <w:kern w:val="0"/>
                <w:sz w:val="28"/>
                <w:szCs w:val="28"/>
              </w:rPr>
            </w:pPr>
          </w:p>
        </w:tc>
        <w:tc>
          <w:tcPr>
            <w:tcW w:w="1626" w:type="dxa"/>
          </w:tcPr>
          <w:p w:rsidR="007A1121" w:rsidRDefault="007A1121">
            <w:pPr>
              <w:snapToGrid w:val="0"/>
              <w:jc w:val="left"/>
              <w:rPr>
                <w:rFonts w:ascii="仿宋" w:eastAsia="仿宋" w:hAnsi="仿宋" w:cs="宋体"/>
                <w:color w:val="000000"/>
                <w:kern w:val="0"/>
                <w:sz w:val="28"/>
                <w:szCs w:val="28"/>
              </w:rPr>
            </w:pPr>
          </w:p>
        </w:tc>
        <w:tc>
          <w:tcPr>
            <w:tcW w:w="1669" w:type="dxa"/>
          </w:tcPr>
          <w:p w:rsidR="007A1121" w:rsidRDefault="007A1121">
            <w:pPr>
              <w:snapToGrid w:val="0"/>
              <w:jc w:val="left"/>
              <w:rPr>
                <w:rFonts w:ascii="仿宋" w:eastAsia="仿宋" w:hAnsi="仿宋" w:cs="宋体"/>
                <w:color w:val="000000"/>
                <w:kern w:val="0"/>
                <w:sz w:val="28"/>
                <w:szCs w:val="28"/>
              </w:rPr>
            </w:pPr>
          </w:p>
        </w:tc>
        <w:tc>
          <w:tcPr>
            <w:tcW w:w="1605" w:type="dxa"/>
          </w:tcPr>
          <w:p w:rsidR="007A1121" w:rsidRDefault="007A1121">
            <w:pPr>
              <w:snapToGrid w:val="0"/>
              <w:jc w:val="left"/>
              <w:rPr>
                <w:rFonts w:ascii="仿宋" w:eastAsia="仿宋" w:hAnsi="仿宋" w:cs="宋体"/>
                <w:color w:val="000000"/>
                <w:kern w:val="0"/>
                <w:sz w:val="28"/>
                <w:szCs w:val="28"/>
              </w:rPr>
            </w:pPr>
          </w:p>
        </w:tc>
        <w:tc>
          <w:tcPr>
            <w:tcW w:w="987" w:type="dxa"/>
          </w:tcPr>
          <w:p w:rsidR="007A1121" w:rsidRDefault="007A1121">
            <w:pPr>
              <w:snapToGrid w:val="0"/>
              <w:jc w:val="left"/>
              <w:rPr>
                <w:rFonts w:ascii="仿宋" w:eastAsia="仿宋" w:hAnsi="仿宋" w:cs="宋体"/>
                <w:color w:val="000000"/>
                <w:kern w:val="0"/>
                <w:sz w:val="28"/>
                <w:szCs w:val="28"/>
              </w:rPr>
            </w:pPr>
          </w:p>
        </w:tc>
      </w:tr>
      <w:tr w:rsidR="007A1121">
        <w:trPr>
          <w:trHeight w:val="480"/>
          <w:jc w:val="center"/>
        </w:trPr>
        <w:tc>
          <w:tcPr>
            <w:tcW w:w="1228" w:type="dxa"/>
          </w:tcPr>
          <w:p w:rsidR="007A1121" w:rsidRDefault="007A1121">
            <w:pPr>
              <w:snapToGrid w:val="0"/>
              <w:jc w:val="left"/>
              <w:rPr>
                <w:rFonts w:ascii="仿宋" w:eastAsia="仿宋" w:hAnsi="仿宋" w:cs="宋体"/>
                <w:color w:val="000000"/>
                <w:kern w:val="0"/>
                <w:sz w:val="28"/>
                <w:szCs w:val="28"/>
              </w:rPr>
            </w:pPr>
          </w:p>
        </w:tc>
        <w:tc>
          <w:tcPr>
            <w:tcW w:w="4253" w:type="dxa"/>
          </w:tcPr>
          <w:p w:rsidR="007A1121" w:rsidRDefault="007A1121">
            <w:pPr>
              <w:snapToGrid w:val="0"/>
              <w:jc w:val="left"/>
              <w:rPr>
                <w:rFonts w:ascii="仿宋" w:eastAsia="仿宋" w:hAnsi="仿宋" w:cs="宋体"/>
                <w:color w:val="000000"/>
                <w:kern w:val="0"/>
                <w:sz w:val="28"/>
                <w:szCs w:val="28"/>
              </w:rPr>
            </w:pPr>
          </w:p>
        </w:tc>
        <w:tc>
          <w:tcPr>
            <w:tcW w:w="1129" w:type="dxa"/>
          </w:tcPr>
          <w:p w:rsidR="007A1121" w:rsidRDefault="007A1121">
            <w:pPr>
              <w:snapToGrid w:val="0"/>
              <w:jc w:val="left"/>
              <w:rPr>
                <w:rFonts w:ascii="仿宋" w:eastAsia="仿宋" w:hAnsi="仿宋" w:cs="宋体"/>
                <w:color w:val="000000"/>
                <w:kern w:val="0"/>
                <w:sz w:val="28"/>
                <w:szCs w:val="28"/>
              </w:rPr>
            </w:pPr>
          </w:p>
        </w:tc>
        <w:tc>
          <w:tcPr>
            <w:tcW w:w="1306" w:type="dxa"/>
          </w:tcPr>
          <w:p w:rsidR="007A1121" w:rsidRDefault="007A1121">
            <w:pPr>
              <w:snapToGrid w:val="0"/>
              <w:jc w:val="left"/>
              <w:rPr>
                <w:rFonts w:ascii="仿宋" w:eastAsia="仿宋" w:hAnsi="仿宋" w:cs="宋体"/>
                <w:color w:val="000000"/>
                <w:kern w:val="0"/>
                <w:sz w:val="28"/>
                <w:szCs w:val="28"/>
              </w:rPr>
            </w:pPr>
          </w:p>
        </w:tc>
        <w:tc>
          <w:tcPr>
            <w:tcW w:w="1193" w:type="dxa"/>
          </w:tcPr>
          <w:p w:rsidR="007A1121" w:rsidRDefault="007A1121">
            <w:pPr>
              <w:snapToGrid w:val="0"/>
              <w:jc w:val="left"/>
              <w:rPr>
                <w:rFonts w:ascii="仿宋" w:eastAsia="仿宋" w:hAnsi="仿宋" w:cs="宋体"/>
                <w:color w:val="000000"/>
                <w:kern w:val="0"/>
                <w:sz w:val="28"/>
                <w:szCs w:val="28"/>
              </w:rPr>
            </w:pPr>
          </w:p>
        </w:tc>
        <w:tc>
          <w:tcPr>
            <w:tcW w:w="1626" w:type="dxa"/>
          </w:tcPr>
          <w:p w:rsidR="007A1121" w:rsidRDefault="007A1121">
            <w:pPr>
              <w:snapToGrid w:val="0"/>
              <w:jc w:val="left"/>
              <w:rPr>
                <w:rFonts w:ascii="仿宋" w:eastAsia="仿宋" w:hAnsi="仿宋" w:cs="宋体"/>
                <w:color w:val="000000"/>
                <w:kern w:val="0"/>
                <w:sz w:val="28"/>
                <w:szCs w:val="28"/>
              </w:rPr>
            </w:pPr>
          </w:p>
        </w:tc>
        <w:tc>
          <w:tcPr>
            <w:tcW w:w="1669" w:type="dxa"/>
          </w:tcPr>
          <w:p w:rsidR="007A1121" w:rsidRDefault="007A1121">
            <w:pPr>
              <w:snapToGrid w:val="0"/>
              <w:jc w:val="left"/>
              <w:rPr>
                <w:rFonts w:ascii="仿宋" w:eastAsia="仿宋" w:hAnsi="仿宋" w:cs="宋体"/>
                <w:color w:val="000000"/>
                <w:kern w:val="0"/>
                <w:sz w:val="28"/>
                <w:szCs w:val="28"/>
              </w:rPr>
            </w:pPr>
          </w:p>
        </w:tc>
        <w:tc>
          <w:tcPr>
            <w:tcW w:w="1605" w:type="dxa"/>
          </w:tcPr>
          <w:p w:rsidR="007A1121" w:rsidRDefault="007A1121">
            <w:pPr>
              <w:snapToGrid w:val="0"/>
              <w:jc w:val="left"/>
              <w:rPr>
                <w:rFonts w:ascii="仿宋" w:eastAsia="仿宋" w:hAnsi="仿宋" w:cs="宋体"/>
                <w:color w:val="000000"/>
                <w:kern w:val="0"/>
                <w:sz w:val="28"/>
                <w:szCs w:val="28"/>
              </w:rPr>
            </w:pPr>
          </w:p>
        </w:tc>
        <w:tc>
          <w:tcPr>
            <w:tcW w:w="987" w:type="dxa"/>
          </w:tcPr>
          <w:p w:rsidR="007A1121" w:rsidRDefault="007A1121">
            <w:pPr>
              <w:snapToGrid w:val="0"/>
              <w:jc w:val="left"/>
              <w:rPr>
                <w:rFonts w:ascii="仿宋" w:eastAsia="仿宋" w:hAnsi="仿宋" w:cs="宋体"/>
                <w:color w:val="000000"/>
                <w:kern w:val="0"/>
                <w:sz w:val="28"/>
                <w:szCs w:val="28"/>
              </w:rPr>
            </w:pPr>
          </w:p>
        </w:tc>
      </w:tr>
      <w:tr w:rsidR="007A1121">
        <w:trPr>
          <w:trHeight w:val="504"/>
          <w:jc w:val="center"/>
        </w:trPr>
        <w:tc>
          <w:tcPr>
            <w:tcW w:w="1228" w:type="dxa"/>
          </w:tcPr>
          <w:p w:rsidR="007A1121" w:rsidRDefault="007A1121">
            <w:pPr>
              <w:snapToGrid w:val="0"/>
              <w:jc w:val="left"/>
              <w:rPr>
                <w:rFonts w:ascii="仿宋" w:eastAsia="仿宋" w:hAnsi="仿宋" w:cs="宋体"/>
                <w:color w:val="000000"/>
                <w:kern w:val="0"/>
                <w:sz w:val="28"/>
                <w:szCs w:val="28"/>
              </w:rPr>
            </w:pPr>
          </w:p>
        </w:tc>
        <w:tc>
          <w:tcPr>
            <w:tcW w:w="4253" w:type="dxa"/>
          </w:tcPr>
          <w:p w:rsidR="007A1121" w:rsidRDefault="007A1121">
            <w:pPr>
              <w:snapToGrid w:val="0"/>
              <w:jc w:val="left"/>
              <w:rPr>
                <w:rFonts w:ascii="仿宋" w:eastAsia="仿宋" w:hAnsi="仿宋" w:cs="宋体"/>
                <w:color w:val="000000"/>
                <w:kern w:val="0"/>
                <w:sz w:val="28"/>
                <w:szCs w:val="28"/>
              </w:rPr>
            </w:pPr>
          </w:p>
        </w:tc>
        <w:tc>
          <w:tcPr>
            <w:tcW w:w="1129" w:type="dxa"/>
          </w:tcPr>
          <w:p w:rsidR="007A1121" w:rsidRDefault="007A1121">
            <w:pPr>
              <w:snapToGrid w:val="0"/>
              <w:jc w:val="left"/>
              <w:rPr>
                <w:rFonts w:ascii="仿宋" w:eastAsia="仿宋" w:hAnsi="仿宋" w:cs="宋体"/>
                <w:color w:val="000000"/>
                <w:kern w:val="0"/>
                <w:sz w:val="28"/>
                <w:szCs w:val="28"/>
              </w:rPr>
            </w:pPr>
          </w:p>
        </w:tc>
        <w:tc>
          <w:tcPr>
            <w:tcW w:w="1306" w:type="dxa"/>
          </w:tcPr>
          <w:p w:rsidR="007A1121" w:rsidRDefault="007A1121">
            <w:pPr>
              <w:snapToGrid w:val="0"/>
              <w:jc w:val="left"/>
              <w:rPr>
                <w:rFonts w:ascii="仿宋" w:eastAsia="仿宋" w:hAnsi="仿宋" w:cs="宋体"/>
                <w:color w:val="000000"/>
                <w:kern w:val="0"/>
                <w:sz w:val="28"/>
                <w:szCs w:val="28"/>
              </w:rPr>
            </w:pPr>
          </w:p>
        </w:tc>
        <w:tc>
          <w:tcPr>
            <w:tcW w:w="1193" w:type="dxa"/>
          </w:tcPr>
          <w:p w:rsidR="007A1121" w:rsidRDefault="007A1121">
            <w:pPr>
              <w:snapToGrid w:val="0"/>
              <w:jc w:val="left"/>
              <w:rPr>
                <w:rFonts w:ascii="仿宋" w:eastAsia="仿宋" w:hAnsi="仿宋" w:cs="宋体"/>
                <w:color w:val="000000"/>
                <w:kern w:val="0"/>
                <w:sz w:val="28"/>
                <w:szCs w:val="28"/>
              </w:rPr>
            </w:pPr>
          </w:p>
        </w:tc>
        <w:tc>
          <w:tcPr>
            <w:tcW w:w="1626" w:type="dxa"/>
          </w:tcPr>
          <w:p w:rsidR="007A1121" w:rsidRDefault="007A1121">
            <w:pPr>
              <w:snapToGrid w:val="0"/>
              <w:jc w:val="left"/>
              <w:rPr>
                <w:rFonts w:ascii="仿宋" w:eastAsia="仿宋" w:hAnsi="仿宋" w:cs="宋体"/>
                <w:color w:val="000000"/>
                <w:kern w:val="0"/>
                <w:sz w:val="28"/>
                <w:szCs w:val="28"/>
              </w:rPr>
            </w:pPr>
          </w:p>
        </w:tc>
        <w:tc>
          <w:tcPr>
            <w:tcW w:w="1669" w:type="dxa"/>
          </w:tcPr>
          <w:p w:rsidR="007A1121" w:rsidRDefault="007A1121">
            <w:pPr>
              <w:snapToGrid w:val="0"/>
              <w:jc w:val="left"/>
              <w:rPr>
                <w:rFonts w:ascii="仿宋" w:eastAsia="仿宋" w:hAnsi="仿宋" w:cs="宋体"/>
                <w:color w:val="000000"/>
                <w:kern w:val="0"/>
                <w:sz w:val="28"/>
                <w:szCs w:val="28"/>
              </w:rPr>
            </w:pPr>
          </w:p>
        </w:tc>
        <w:tc>
          <w:tcPr>
            <w:tcW w:w="1605" w:type="dxa"/>
          </w:tcPr>
          <w:p w:rsidR="007A1121" w:rsidRDefault="007A1121">
            <w:pPr>
              <w:snapToGrid w:val="0"/>
              <w:jc w:val="left"/>
              <w:rPr>
                <w:rFonts w:ascii="仿宋" w:eastAsia="仿宋" w:hAnsi="仿宋" w:cs="宋体"/>
                <w:color w:val="000000"/>
                <w:kern w:val="0"/>
                <w:sz w:val="28"/>
                <w:szCs w:val="28"/>
              </w:rPr>
            </w:pPr>
          </w:p>
        </w:tc>
        <w:tc>
          <w:tcPr>
            <w:tcW w:w="987" w:type="dxa"/>
          </w:tcPr>
          <w:p w:rsidR="007A1121" w:rsidRDefault="007A1121">
            <w:pPr>
              <w:snapToGrid w:val="0"/>
              <w:jc w:val="left"/>
              <w:rPr>
                <w:rFonts w:ascii="仿宋" w:eastAsia="仿宋" w:hAnsi="仿宋" w:cs="宋体"/>
                <w:color w:val="000000"/>
                <w:kern w:val="0"/>
                <w:sz w:val="28"/>
                <w:szCs w:val="28"/>
              </w:rPr>
            </w:pPr>
          </w:p>
        </w:tc>
      </w:tr>
      <w:tr w:rsidR="007A1121">
        <w:trPr>
          <w:trHeight w:val="504"/>
          <w:jc w:val="center"/>
        </w:trPr>
        <w:tc>
          <w:tcPr>
            <w:tcW w:w="1228" w:type="dxa"/>
          </w:tcPr>
          <w:p w:rsidR="007A1121" w:rsidRDefault="007A1121">
            <w:pPr>
              <w:snapToGrid w:val="0"/>
              <w:jc w:val="left"/>
              <w:rPr>
                <w:rFonts w:ascii="仿宋" w:eastAsia="仿宋" w:hAnsi="仿宋" w:cs="宋体"/>
                <w:color w:val="000000"/>
                <w:kern w:val="0"/>
                <w:sz w:val="28"/>
                <w:szCs w:val="28"/>
              </w:rPr>
            </w:pPr>
          </w:p>
        </w:tc>
        <w:tc>
          <w:tcPr>
            <w:tcW w:w="4253" w:type="dxa"/>
          </w:tcPr>
          <w:p w:rsidR="007A1121" w:rsidRDefault="007A1121">
            <w:pPr>
              <w:snapToGrid w:val="0"/>
              <w:jc w:val="left"/>
              <w:rPr>
                <w:rFonts w:ascii="仿宋" w:eastAsia="仿宋" w:hAnsi="仿宋" w:cs="宋体"/>
                <w:color w:val="000000"/>
                <w:kern w:val="0"/>
                <w:sz w:val="28"/>
                <w:szCs w:val="28"/>
              </w:rPr>
            </w:pPr>
          </w:p>
        </w:tc>
        <w:tc>
          <w:tcPr>
            <w:tcW w:w="1129" w:type="dxa"/>
          </w:tcPr>
          <w:p w:rsidR="007A1121" w:rsidRDefault="007A1121">
            <w:pPr>
              <w:snapToGrid w:val="0"/>
              <w:jc w:val="left"/>
              <w:rPr>
                <w:rFonts w:ascii="仿宋" w:eastAsia="仿宋" w:hAnsi="仿宋" w:cs="宋体"/>
                <w:color w:val="000000"/>
                <w:kern w:val="0"/>
                <w:sz w:val="28"/>
                <w:szCs w:val="28"/>
              </w:rPr>
            </w:pPr>
          </w:p>
        </w:tc>
        <w:tc>
          <w:tcPr>
            <w:tcW w:w="1306" w:type="dxa"/>
          </w:tcPr>
          <w:p w:rsidR="007A1121" w:rsidRDefault="007A1121">
            <w:pPr>
              <w:snapToGrid w:val="0"/>
              <w:jc w:val="left"/>
              <w:rPr>
                <w:rFonts w:ascii="仿宋" w:eastAsia="仿宋" w:hAnsi="仿宋" w:cs="宋体"/>
                <w:color w:val="000000"/>
                <w:kern w:val="0"/>
                <w:sz w:val="28"/>
                <w:szCs w:val="28"/>
              </w:rPr>
            </w:pPr>
          </w:p>
        </w:tc>
        <w:tc>
          <w:tcPr>
            <w:tcW w:w="1193" w:type="dxa"/>
          </w:tcPr>
          <w:p w:rsidR="007A1121" w:rsidRDefault="007A1121">
            <w:pPr>
              <w:snapToGrid w:val="0"/>
              <w:jc w:val="left"/>
              <w:rPr>
                <w:rFonts w:ascii="仿宋" w:eastAsia="仿宋" w:hAnsi="仿宋" w:cs="宋体"/>
                <w:color w:val="000000"/>
                <w:kern w:val="0"/>
                <w:sz w:val="28"/>
                <w:szCs w:val="28"/>
              </w:rPr>
            </w:pPr>
          </w:p>
        </w:tc>
        <w:tc>
          <w:tcPr>
            <w:tcW w:w="1626" w:type="dxa"/>
          </w:tcPr>
          <w:p w:rsidR="007A1121" w:rsidRDefault="007A1121">
            <w:pPr>
              <w:snapToGrid w:val="0"/>
              <w:jc w:val="left"/>
              <w:rPr>
                <w:rFonts w:ascii="仿宋" w:eastAsia="仿宋" w:hAnsi="仿宋" w:cs="宋体"/>
                <w:color w:val="000000"/>
                <w:kern w:val="0"/>
                <w:sz w:val="28"/>
                <w:szCs w:val="28"/>
              </w:rPr>
            </w:pPr>
          </w:p>
        </w:tc>
        <w:tc>
          <w:tcPr>
            <w:tcW w:w="1669" w:type="dxa"/>
          </w:tcPr>
          <w:p w:rsidR="007A1121" w:rsidRDefault="007A1121">
            <w:pPr>
              <w:snapToGrid w:val="0"/>
              <w:jc w:val="left"/>
              <w:rPr>
                <w:rFonts w:ascii="仿宋" w:eastAsia="仿宋" w:hAnsi="仿宋" w:cs="宋体"/>
                <w:color w:val="000000"/>
                <w:kern w:val="0"/>
                <w:sz w:val="28"/>
                <w:szCs w:val="28"/>
              </w:rPr>
            </w:pPr>
          </w:p>
        </w:tc>
        <w:tc>
          <w:tcPr>
            <w:tcW w:w="1605" w:type="dxa"/>
          </w:tcPr>
          <w:p w:rsidR="007A1121" w:rsidRDefault="007A1121">
            <w:pPr>
              <w:snapToGrid w:val="0"/>
              <w:jc w:val="left"/>
              <w:rPr>
                <w:rFonts w:ascii="仿宋" w:eastAsia="仿宋" w:hAnsi="仿宋" w:cs="宋体"/>
                <w:color w:val="000000"/>
                <w:kern w:val="0"/>
                <w:sz w:val="28"/>
                <w:szCs w:val="28"/>
              </w:rPr>
            </w:pPr>
          </w:p>
        </w:tc>
        <w:tc>
          <w:tcPr>
            <w:tcW w:w="987" w:type="dxa"/>
          </w:tcPr>
          <w:p w:rsidR="007A1121" w:rsidRDefault="007A1121">
            <w:pPr>
              <w:snapToGrid w:val="0"/>
              <w:jc w:val="left"/>
              <w:rPr>
                <w:rFonts w:ascii="仿宋" w:eastAsia="仿宋" w:hAnsi="仿宋" w:cs="宋体"/>
                <w:color w:val="000000"/>
                <w:kern w:val="0"/>
                <w:sz w:val="28"/>
                <w:szCs w:val="28"/>
              </w:rPr>
            </w:pPr>
          </w:p>
        </w:tc>
      </w:tr>
      <w:tr w:rsidR="007A1121">
        <w:trPr>
          <w:trHeight w:val="504"/>
          <w:jc w:val="center"/>
        </w:trPr>
        <w:tc>
          <w:tcPr>
            <w:tcW w:w="1228" w:type="dxa"/>
          </w:tcPr>
          <w:p w:rsidR="007A1121" w:rsidRDefault="007A1121">
            <w:pPr>
              <w:snapToGrid w:val="0"/>
              <w:jc w:val="left"/>
              <w:rPr>
                <w:rFonts w:ascii="仿宋" w:eastAsia="仿宋" w:hAnsi="仿宋" w:cs="宋体"/>
                <w:color w:val="000000"/>
                <w:kern w:val="0"/>
                <w:sz w:val="28"/>
                <w:szCs w:val="28"/>
              </w:rPr>
            </w:pPr>
          </w:p>
        </w:tc>
        <w:tc>
          <w:tcPr>
            <w:tcW w:w="4253" w:type="dxa"/>
          </w:tcPr>
          <w:p w:rsidR="007A1121" w:rsidRDefault="007A1121">
            <w:pPr>
              <w:snapToGrid w:val="0"/>
              <w:jc w:val="left"/>
              <w:rPr>
                <w:rFonts w:ascii="仿宋" w:eastAsia="仿宋" w:hAnsi="仿宋" w:cs="宋体"/>
                <w:color w:val="000000"/>
                <w:kern w:val="0"/>
                <w:sz w:val="28"/>
                <w:szCs w:val="28"/>
              </w:rPr>
            </w:pPr>
          </w:p>
        </w:tc>
        <w:tc>
          <w:tcPr>
            <w:tcW w:w="1129" w:type="dxa"/>
          </w:tcPr>
          <w:p w:rsidR="007A1121" w:rsidRDefault="007A1121">
            <w:pPr>
              <w:snapToGrid w:val="0"/>
              <w:jc w:val="left"/>
              <w:rPr>
                <w:rFonts w:ascii="仿宋" w:eastAsia="仿宋" w:hAnsi="仿宋" w:cs="宋体"/>
                <w:color w:val="000000"/>
                <w:kern w:val="0"/>
                <w:sz w:val="28"/>
                <w:szCs w:val="28"/>
              </w:rPr>
            </w:pPr>
          </w:p>
        </w:tc>
        <w:tc>
          <w:tcPr>
            <w:tcW w:w="1306" w:type="dxa"/>
          </w:tcPr>
          <w:p w:rsidR="007A1121" w:rsidRDefault="007A1121">
            <w:pPr>
              <w:snapToGrid w:val="0"/>
              <w:jc w:val="left"/>
              <w:rPr>
                <w:rFonts w:ascii="仿宋" w:eastAsia="仿宋" w:hAnsi="仿宋" w:cs="宋体"/>
                <w:color w:val="000000"/>
                <w:kern w:val="0"/>
                <w:sz w:val="28"/>
                <w:szCs w:val="28"/>
              </w:rPr>
            </w:pPr>
          </w:p>
        </w:tc>
        <w:tc>
          <w:tcPr>
            <w:tcW w:w="1193" w:type="dxa"/>
          </w:tcPr>
          <w:p w:rsidR="007A1121" w:rsidRDefault="007A1121">
            <w:pPr>
              <w:snapToGrid w:val="0"/>
              <w:jc w:val="left"/>
              <w:rPr>
                <w:rFonts w:ascii="仿宋" w:eastAsia="仿宋" w:hAnsi="仿宋" w:cs="宋体"/>
                <w:color w:val="000000"/>
                <w:kern w:val="0"/>
                <w:sz w:val="28"/>
                <w:szCs w:val="28"/>
              </w:rPr>
            </w:pPr>
          </w:p>
        </w:tc>
        <w:tc>
          <w:tcPr>
            <w:tcW w:w="1626" w:type="dxa"/>
          </w:tcPr>
          <w:p w:rsidR="007A1121" w:rsidRDefault="007A1121">
            <w:pPr>
              <w:snapToGrid w:val="0"/>
              <w:jc w:val="left"/>
              <w:rPr>
                <w:rFonts w:ascii="仿宋" w:eastAsia="仿宋" w:hAnsi="仿宋" w:cs="宋体"/>
                <w:color w:val="000000"/>
                <w:kern w:val="0"/>
                <w:sz w:val="28"/>
                <w:szCs w:val="28"/>
              </w:rPr>
            </w:pPr>
          </w:p>
        </w:tc>
        <w:tc>
          <w:tcPr>
            <w:tcW w:w="1669" w:type="dxa"/>
          </w:tcPr>
          <w:p w:rsidR="007A1121" w:rsidRDefault="007A1121">
            <w:pPr>
              <w:snapToGrid w:val="0"/>
              <w:jc w:val="left"/>
              <w:rPr>
                <w:rFonts w:ascii="仿宋" w:eastAsia="仿宋" w:hAnsi="仿宋" w:cs="宋体"/>
                <w:color w:val="000000"/>
                <w:kern w:val="0"/>
                <w:sz w:val="28"/>
                <w:szCs w:val="28"/>
              </w:rPr>
            </w:pPr>
          </w:p>
        </w:tc>
        <w:tc>
          <w:tcPr>
            <w:tcW w:w="1605" w:type="dxa"/>
          </w:tcPr>
          <w:p w:rsidR="007A1121" w:rsidRDefault="007A1121">
            <w:pPr>
              <w:snapToGrid w:val="0"/>
              <w:jc w:val="left"/>
              <w:rPr>
                <w:rFonts w:ascii="仿宋" w:eastAsia="仿宋" w:hAnsi="仿宋" w:cs="宋体"/>
                <w:color w:val="000000"/>
                <w:kern w:val="0"/>
                <w:sz w:val="28"/>
                <w:szCs w:val="28"/>
              </w:rPr>
            </w:pPr>
          </w:p>
        </w:tc>
        <w:tc>
          <w:tcPr>
            <w:tcW w:w="987" w:type="dxa"/>
          </w:tcPr>
          <w:p w:rsidR="007A1121" w:rsidRDefault="007A1121">
            <w:pPr>
              <w:snapToGrid w:val="0"/>
              <w:jc w:val="left"/>
              <w:rPr>
                <w:rFonts w:ascii="仿宋" w:eastAsia="仿宋" w:hAnsi="仿宋" w:cs="宋体"/>
                <w:color w:val="000000"/>
                <w:kern w:val="0"/>
                <w:sz w:val="28"/>
                <w:szCs w:val="28"/>
              </w:rPr>
            </w:pPr>
          </w:p>
        </w:tc>
      </w:tr>
      <w:tr w:rsidR="007A1121">
        <w:trPr>
          <w:trHeight w:val="504"/>
          <w:jc w:val="center"/>
        </w:trPr>
        <w:tc>
          <w:tcPr>
            <w:tcW w:w="1228" w:type="dxa"/>
          </w:tcPr>
          <w:p w:rsidR="007A1121" w:rsidRDefault="007A1121">
            <w:pPr>
              <w:snapToGrid w:val="0"/>
              <w:jc w:val="left"/>
              <w:rPr>
                <w:rFonts w:ascii="仿宋" w:eastAsia="仿宋" w:hAnsi="仿宋" w:cs="宋体"/>
                <w:color w:val="000000"/>
                <w:kern w:val="0"/>
                <w:sz w:val="28"/>
                <w:szCs w:val="28"/>
              </w:rPr>
            </w:pPr>
          </w:p>
        </w:tc>
        <w:tc>
          <w:tcPr>
            <w:tcW w:w="4253" w:type="dxa"/>
          </w:tcPr>
          <w:p w:rsidR="007A1121" w:rsidRDefault="007A1121">
            <w:pPr>
              <w:snapToGrid w:val="0"/>
              <w:jc w:val="left"/>
              <w:rPr>
                <w:rFonts w:ascii="仿宋" w:eastAsia="仿宋" w:hAnsi="仿宋" w:cs="宋体"/>
                <w:color w:val="000000"/>
                <w:kern w:val="0"/>
                <w:sz w:val="28"/>
                <w:szCs w:val="28"/>
              </w:rPr>
            </w:pPr>
          </w:p>
        </w:tc>
        <w:tc>
          <w:tcPr>
            <w:tcW w:w="1129" w:type="dxa"/>
          </w:tcPr>
          <w:p w:rsidR="007A1121" w:rsidRDefault="007A1121">
            <w:pPr>
              <w:snapToGrid w:val="0"/>
              <w:jc w:val="left"/>
              <w:rPr>
                <w:rFonts w:ascii="仿宋" w:eastAsia="仿宋" w:hAnsi="仿宋" w:cs="宋体"/>
                <w:color w:val="000000"/>
                <w:kern w:val="0"/>
                <w:sz w:val="28"/>
                <w:szCs w:val="28"/>
              </w:rPr>
            </w:pPr>
          </w:p>
        </w:tc>
        <w:tc>
          <w:tcPr>
            <w:tcW w:w="1306" w:type="dxa"/>
          </w:tcPr>
          <w:p w:rsidR="007A1121" w:rsidRDefault="007A1121">
            <w:pPr>
              <w:snapToGrid w:val="0"/>
              <w:jc w:val="left"/>
              <w:rPr>
                <w:rFonts w:ascii="仿宋" w:eastAsia="仿宋" w:hAnsi="仿宋" w:cs="宋体"/>
                <w:color w:val="000000"/>
                <w:kern w:val="0"/>
                <w:sz w:val="28"/>
                <w:szCs w:val="28"/>
              </w:rPr>
            </w:pPr>
          </w:p>
        </w:tc>
        <w:tc>
          <w:tcPr>
            <w:tcW w:w="1193" w:type="dxa"/>
          </w:tcPr>
          <w:p w:rsidR="007A1121" w:rsidRDefault="007A1121">
            <w:pPr>
              <w:snapToGrid w:val="0"/>
              <w:jc w:val="left"/>
              <w:rPr>
                <w:rFonts w:ascii="仿宋" w:eastAsia="仿宋" w:hAnsi="仿宋" w:cs="宋体"/>
                <w:color w:val="000000"/>
                <w:kern w:val="0"/>
                <w:sz w:val="28"/>
                <w:szCs w:val="28"/>
              </w:rPr>
            </w:pPr>
          </w:p>
        </w:tc>
        <w:tc>
          <w:tcPr>
            <w:tcW w:w="1626" w:type="dxa"/>
          </w:tcPr>
          <w:p w:rsidR="007A1121" w:rsidRDefault="007A1121">
            <w:pPr>
              <w:snapToGrid w:val="0"/>
              <w:jc w:val="left"/>
              <w:rPr>
                <w:rFonts w:ascii="仿宋" w:eastAsia="仿宋" w:hAnsi="仿宋" w:cs="宋体"/>
                <w:color w:val="000000"/>
                <w:kern w:val="0"/>
                <w:sz w:val="28"/>
                <w:szCs w:val="28"/>
              </w:rPr>
            </w:pPr>
          </w:p>
        </w:tc>
        <w:tc>
          <w:tcPr>
            <w:tcW w:w="1669" w:type="dxa"/>
          </w:tcPr>
          <w:p w:rsidR="007A1121" w:rsidRDefault="007A1121">
            <w:pPr>
              <w:snapToGrid w:val="0"/>
              <w:jc w:val="left"/>
              <w:rPr>
                <w:rFonts w:ascii="仿宋" w:eastAsia="仿宋" w:hAnsi="仿宋" w:cs="宋体"/>
                <w:color w:val="000000"/>
                <w:kern w:val="0"/>
                <w:sz w:val="28"/>
                <w:szCs w:val="28"/>
              </w:rPr>
            </w:pPr>
          </w:p>
        </w:tc>
        <w:tc>
          <w:tcPr>
            <w:tcW w:w="1605" w:type="dxa"/>
          </w:tcPr>
          <w:p w:rsidR="007A1121" w:rsidRDefault="007A1121">
            <w:pPr>
              <w:snapToGrid w:val="0"/>
              <w:jc w:val="left"/>
              <w:rPr>
                <w:rFonts w:ascii="仿宋" w:eastAsia="仿宋" w:hAnsi="仿宋" w:cs="宋体"/>
                <w:color w:val="000000"/>
                <w:kern w:val="0"/>
                <w:sz w:val="28"/>
                <w:szCs w:val="28"/>
              </w:rPr>
            </w:pPr>
          </w:p>
        </w:tc>
        <w:tc>
          <w:tcPr>
            <w:tcW w:w="987" w:type="dxa"/>
          </w:tcPr>
          <w:p w:rsidR="007A1121" w:rsidRDefault="007A1121">
            <w:pPr>
              <w:snapToGrid w:val="0"/>
              <w:jc w:val="left"/>
              <w:rPr>
                <w:rFonts w:ascii="仿宋" w:eastAsia="仿宋" w:hAnsi="仿宋" w:cs="宋体"/>
                <w:color w:val="000000"/>
                <w:kern w:val="0"/>
                <w:sz w:val="28"/>
                <w:szCs w:val="28"/>
              </w:rPr>
            </w:pPr>
          </w:p>
        </w:tc>
      </w:tr>
      <w:tr w:rsidR="007A1121">
        <w:trPr>
          <w:trHeight w:val="504"/>
          <w:jc w:val="center"/>
        </w:trPr>
        <w:tc>
          <w:tcPr>
            <w:tcW w:w="1228" w:type="dxa"/>
          </w:tcPr>
          <w:p w:rsidR="007A1121" w:rsidRDefault="007A1121">
            <w:pPr>
              <w:snapToGrid w:val="0"/>
              <w:jc w:val="left"/>
              <w:rPr>
                <w:rFonts w:ascii="仿宋" w:eastAsia="仿宋" w:hAnsi="仿宋" w:cs="宋体"/>
                <w:color w:val="000000"/>
                <w:kern w:val="0"/>
                <w:sz w:val="28"/>
                <w:szCs w:val="28"/>
              </w:rPr>
            </w:pPr>
          </w:p>
        </w:tc>
        <w:tc>
          <w:tcPr>
            <w:tcW w:w="4253" w:type="dxa"/>
          </w:tcPr>
          <w:p w:rsidR="007A1121" w:rsidRDefault="007A1121">
            <w:pPr>
              <w:snapToGrid w:val="0"/>
              <w:jc w:val="left"/>
              <w:rPr>
                <w:rFonts w:ascii="仿宋" w:eastAsia="仿宋" w:hAnsi="仿宋" w:cs="宋体"/>
                <w:color w:val="000000"/>
                <w:kern w:val="0"/>
                <w:sz w:val="28"/>
                <w:szCs w:val="28"/>
              </w:rPr>
            </w:pPr>
          </w:p>
        </w:tc>
        <w:tc>
          <w:tcPr>
            <w:tcW w:w="1129" w:type="dxa"/>
          </w:tcPr>
          <w:p w:rsidR="007A1121" w:rsidRDefault="007A1121">
            <w:pPr>
              <w:snapToGrid w:val="0"/>
              <w:jc w:val="left"/>
              <w:rPr>
                <w:rFonts w:ascii="仿宋" w:eastAsia="仿宋" w:hAnsi="仿宋" w:cs="宋体"/>
                <w:color w:val="000000"/>
                <w:kern w:val="0"/>
                <w:sz w:val="28"/>
                <w:szCs w:val="28"/>
              </w:rPr>
            </w:pPr>
          </w:p>
        </w:tc>
        <w:tc>
          <w:tcPr>
            <w:tcW w:w="1306" w:type="dxa"/>
          </w:tcPr>
          <w:p w:rsidR="007A1121" w:rsidRDefault="007A1121">
            <w:pPr>
              <w:snapToGrid w:val="0"/>
              <w:jc w:val="left"/>
              <w:rPr>
                <w:rFonts w:ascii="仿宋" w:eastAsia="仿宋" w:hAnsi="仿宋" w:cs="宋体"/>
                <w:color w:val="000000"/>
                <w:kern w:val="0"/>
                <w:sz w:val="28"/>
                <w:szCs w:val="28"/>
              </w:rPr>
            </w:pPr>
          </w:p>
        </w:tc>
        <w:tc>
          <w:tcPr>
            <w:tcW w:w="1193" w:type="dxa"/>
          </w:tcPr>
          <w:p w:rsidR="007A1121" w:rsidRDefault="007A1121">
            <w:pPr>
              <w:snapToGrid w:val="0"/>
              <w:jc w:val="left"/>
              <w:rPr>
                <w:rFonts w:ascii="仿宋" w:eastAsia="仿宋" w:hAnsi="仿宋" w:cs="宋体"/>
                <w:color w:val="000000"/>
                <w:kern w:val="0"/>
                <w:sz w:val="28"/>
                <w:szCs w:val="28"/>
              </w:rPr>
            </w:pPr>
          </w:p>
        </w:tc>
        <w:tc>
          <w:tcPr>
            <w:tcW w:w="1626" w:type="dxa"/>
          </w:tcPr>
          <w:p w:rsidR="007A1121" w:rsidRDefault="007A1121">
            <w:pPr>
              <w:snapToGrid w:val="0"/>
              <w:jc w:val="left"/>
              <w:rPr>
                <w:rFonts w:ascii="仿宋" w:eastAsia="仿宋" w:hAnsi="仿宋" w:cs="宋体"/>
                <w:color w:val="000000"/>
                <w:kern w:val="0"/>
                <w:sz w:val="28"/>
                <w:szCs w:val="28"/>
              </w:rPr>
            </w:pPr>
          </w:p>
        </w:tc>
        <w:tc>
          <w:tcPr>
            <w:tcW w:w="1669" w:type="dxa"/>
          </w:tcPr>
          <w:p w:rsidR="007A1121" w:rsidRDefault="007A1121">
            <w:pPr>
              <w:snapToGrid w:val="0"/>
              <w:jc w:val="left"/>
              <w:rPr>
                <w:rFonts w:ascii="仿宋" w:eastAsia="仿宋" w:hAnsi="仿宋" w:cs="宋体"/>
                <w:color w:val="000000"/>
                <w:kern w:val="0"/>
                <w:sz w:val="28"/>
                <w:szCs w:val="28"/>
              </w:rPr>
            </w:pPr>
          </w:p>
        </w:tc>
        <w:tc>
          <w:tcPr>
            <w:tcW w:w="1605" w:type="dxa"/>
          </w:tcPr>
          <w:p w:rsidR="007A1121" w:rsidRDefault="007A1121">
            <w:pPr>
              <w:snapToGrid w:val="0"/>
              <w:jc w:val="left"/>
              <w:rPr>
                <w:rFonts w:ascii="仿宋" w:eastAsia="仿宋" w:hAnsi="仿宋" w:cs="宋体"/>
                <w:color w:val="000000"/>
                <w:kern w:val="0"/>
                <w:sz w:val="28"/>
                <w:szCs w:val="28"/>
              </w:rPr>
            </w:pPr>
          </w:p>
        </w:tc>
        <w:tc>
          <w:tcPr>
            <w:tcW w:w="987" w:type="dxa"/>
          </w:tcPr>
          <w:p w:rsidR="007A1121" w:rsidRDefault="007A1121">
            <w:pPr>
              <w:snapToGrid w:val="0"/>
              <w:jc w:val="left"/>
              <w:rPr>
                <w:rFonts w:ascii="仿宋" w:eastAsia="仿宋" w:hAnsi="仿宋" w:cs="宋体"/>
                <w:color w:val="000000"/>
                <w:kern w:val="0"/>
                <w:sz w:val="28"/>
                <w:szCs w:val="28"/>
              </w:rPr>
            </w:pPr>
          </w:p>
        </w:tc>
      </w:tr>
      <w:tr w:rsidR="007A1121">
        <w:trPr>
          <w:trHeight w:val="504"/>
          <w:jc w:val="center"/>
        </w:trPr>
        <w:tc>
          <w:tcPr>
            <w:tcW w:w="1228" w:type="dxa"/>
          </w:tcPr>
          <w:p w:rsidR="007A1121" w:rsidRDefault="007A1121">
            <w:pPr>
              <w:snapToGrid w:val="0"/>
              <w:jc w:val="left"/>
              <w:rPr>
                <w:rFonts w:ascii="仿宋" w:eastAsia="仿宋" w:hAnsi="仿宋" w:cs="宋体"/>
                <w:color w:val="000000"/>
                <w:kern w:val="0"/>
                <w:sz w:val="28"/>
                <w:szCs w:val="28"/>
              </w:rPr>
            </w:pPr>
          </w:p>
        </w:tc>
        <w:tc>
          <w:tcPr>
            <w:tcW w:w="4253" w:type="dxa"/>
          </w:tcPr>
          <w:p w:rsidR="007A1121" w:rsidRDefault="007A1121">
            <w:pPr>
              <w:snapToGrid w:val="0"/>
              <w:jc w:val="left"/>
              <w:rPr>
                <w:rFonts w:ascii="仿宋" w:eastAsia="仿宋" w:hAnsi="仿宋" w:cs="宋体"/>
                <w:color w:val="000000"/>
                <w:kern w:val="0"/>
                <w:sz w:val="28"/>
                <w:szCs w:val="28"/>
              </w:rPr>
            </w:pPr>
          </w:p>
        </w:tc>
        <w:tc>
          <w:tcPr>
            <w:tcW w:w="1129" w:type="dxa"/>
          </w:tcPr>
          <w:p w:rsidR="007A1121" w:rsidRDefault="007A1121">
            <w:pPr>
              <w:snapToGrid w:val="0"/>
              <w:jc w:val="left"/>
              <w:rPr>
                <w:rFonts w:ascii="仿宋" w:eastAsia="仿宋" w:hAnsi="仿宋" w:cs="宋体"/>
                <w:color w:val="000000"/>
                <w:kern w:val="0"/>
                <w:sz w:val="28"/>
                <w:szCs w:val="28"/>
              </w:rPr>
            </w:pPr>
          </w:p>
        </w:tc>
        <w:tc>
          <w:tcPr>
            <w:tcW w:w="1306" w:type="dxa"/>
          </w:tcPr>
          <w:p w:rsidR="007A1121" w:rsidRDefault="007A1121">
            <w:pPr>
              <w:snapToGrid w:val="0"/>
              <w:jc w:val="left"/>
              <w:rPr>
                <w:rFonts w:ascii="仿宋" w:eastAsia="仿宋" w:hAnsi="仿宋" w:cs="宋体"/>
                <w:color w:val="000000"/>
                <w:kern w:val="0"/>
                <w:sz w:val="28"/>
                <w:szCs w:val="28"/>
              </w:rPr>
            </w:pPr>
          </w:p>
        </w:tc>
        <w:tc>
          <w:tcPr>
            <w:tcW w:w="1193" w:type="dxa"/>
          </w:tcPr>
          <w:p w:rsidR="007A1121" w:rsidRDefault="007A1121">
            <w:pPr>
              <w:snapToGrid w:val="0"/>
              <w:jc w:val="left"/>
              <w:rPr>
                <w:rFonts w:ascii="仿宋" w:eastAsia="仿宋" w:hAnsi="仿宋" w:cs="宋体"/>
                <w:color w:val="000000"/>
                <w:kern w:val="0"/>
                <w:sz w:val="28"/>
                <w:szCs w:val="28"/>
              </w:rPr>
            </w:pPr>
          </w:p>
        </w:tc>
        <w:tc>
          <w:tcPr>
            <w:tcW w:w="1626" w:type="dxa"/>
          </w:tcPr>
          <w:p w:rsidR="007A1121" w:rsidRDefault="007A1121">
            <w:pPr>
              <w:snapToGrid w:val="0"/>
              <w:jc w:val="left"/>
              <w:rPr>
                <w:rFonts w:ascii="仿宋" w:eastAsia="仿宋" w:hAnsi="仿宋" w:cs="宋体"/>
                <w:color w:val="000000"/>
                <w:kern w:val="0"/>
                <w:sz w:val="28"/>
                <w:szCs w:val="28"/>
              </w:rPr>
            </w:pPr>
          </w:p>
        </w:tc>
        <w:tc>
          <w:tcPr>
            <w:tcW w:w="1669" w:type="dxa"/>
          </w:tcPr>
          <w:p w:rsidR="007A1121" w:rsidRDefault="007A1121">
            <w:pPr>
              <w:snapToGrid w:val="0"/>
              <w:jc w:val="left"/>
              <w:rPr>
                <w:rFonts w:ascii="仿宋" w:eastAsia="仿宋" w:hAnsi="仿宋" w:cs="宋体"/>
                <w:color w:val="000000"/>
                <w:kern w:val="0"/>
                <w:sz w:val="28"/>
                <w:szCs w:val="28"/>
              </w:rPr>
            </w:pPr>
          </w:p>
        </w:tc>
        <w:tc>
          <w:tcPr>
            <w:tcW w:w="1605" w:type="dxa"/>
          </w:tcPr>
          <w:p w:rsidR="007A1121" w:rsidRDefault="007A1121">
            <w:pPr>
              <w:snapToGrid w:val="0"/>
              <w:jc w:val="left"/>
              <w:rPr>
                <w:rFonts w:ascii="仿宋" w:eastAsia="仿宋" w:hAnsi="仿宋" w:cs="宋体"/>
                <w:color w:val="000000"/>
                <w:kern w:val="0"/>
                <w:sz w:val="28"/>
                <w:szCs w:val="28"/>
              </w:rPr>
            </w:pPr>
          </w:p>
        </w:tc>
        <w:tc>
          <w:tcPr>
            <w:tcW w:w="987" w:type="dxa"/>
          </w:tcPr>
          <w:p w:rsidR="007A1121" w:rsidRDefault="007A1121">
            <w:pPr>
              <w:snapToGrid w:val="0"/>
              <w:jc w:val="left"/>
              <w:rPr>
                <w:rFonts w:ascii="仿宋" w:eastAsia="仿宋" w:hAnsi="仿宋" w:cs="宋体"/>
                <w:color w:val="000000"/>
                <w:kern w:val="0"/>
                <w:sz w:val="28"/>
                <w:szCs w:val="28"/>
              </w:rPr>
            </w:pPr>
          </w:p>
        </w:tc>
      </w:tr>
      <w:tr w:rsidR="007A1121">
        <w:trPr>
          <w:trHeight w:val="504"/>
          <w:jc w:val="center"/>
        </w:trPr>
        <w:tc>
          <w:tcPr>
            <w:tcW w:w="1228" w:type="dxa"/>
          </w:tcPr>
          <w:p w:rsidR="007A1121" w:rsidRDefault="007A1121">
            <w:pPr>
              <w:snapToGrid w:val="0"/>
              <w:jc w:val="left"/>
              <w:rPr>
                <w:rFonts w:ascii="仿宋" w:eastAsia="仿宋" w:hAnsi="仿宋" w:cs="宋体"/>
                <w:color w:val="000000"/>
                <w:kern w:val="0"/>
                <w:sz w:val="28"/>
                <w:szCs w:val="28"/>
              </w:rPr>
            </w:pPr>
          </w:p>
        </w:tc>
        <w:tc>
          <w:tcPr>
            <w:tcW w:w="4253" w:type="dxa"/>
          </w:tcPr>
          <w:p w:rsidR="007A1121" w:rsidRDefault="007A1121">
            <w:pPr>
              <w:snapToGrid w:val="0"/>
              <w:jc w:val="left"/>
              <w:rPr>
                <w:rFonts w:ascii="仿宋" w:eastAsia="仿宋" w:hAnsi="仿宋" w:cs="宋体"/>
                <w:color w:val="000000"/>
                <w:kern w:val="0"/>
                <w:sz w:val="28"/>
                <w:szCs w:val="28"/>
              </w:rPr>
            </w:pPr>
          </w:p>
        </w:tc>
        <w:tc>
          <w:tcPr>
            <w:tcW w:w="1129" w:type="dxa"/>
          </w:tcPr>
          <w:p w:rsidR="007A1121" w:rsidRDefault="007A1121">
            <w:pPr>
              <w:snapToGrid w:val="0"/>
              <w:jc w:val="left"/>
              <w:rPr>
                <w:rFonts w:ascii="仿宋" w:eastAsia="仿宋" w:hAnsi="仿宋" w:cs="宋体"/>
                <w:color w:val="000000"/>
                <w:kern w:val="0"/>
                <w:sz w:val="28"/>
                <w:szCs w:val="28"/>
              </w:rPr>
            </w:pPr>
          </w:p>
        </w:tc>
        <w:tc>
          <w:tcPr>
            <w:tcW w:w="1306" w:type="dxa"/>
          </w:tcPr>
          <w:p w:rsidR="007A1121" w:rsidRDefault="007A1121">
            <w:pPr>
              <w:snapToGrid w:val="0"/>
              <w:jc w:val="left"/>
              <w:rPr>
                <w:rFonts w:ascii="仿宋" w:eastAsia="仿宋" w:hAnsi="仿宋" w:cs="宋体"/>
                <w:color w:val="000000"/>
                <w:kern w:val="0"/>
                <w:sz w:val="28"/>
                <w:szCs w:val="28"/>
              </w:rPr>
            </w:pPr>
          </w:p>
        </w:tc>
        <w:tc>
          <w:tcPr>
            <w:tcW w:w="1193" w:type="dxa"/>
          </w:tcPr>
          <w:p w:rsidR="007A1121" w:rsidRDefault="007A1121">
            <w:pPr>
              <w:snapToGrid w:val="0"/>
              <w:jc w:val="left"/>
              <w:rPr>
                <w:rFonts w:ascii="仿宋" w:eastAsia="仿宋" w:hAnsi="仿宋" w:cs="宋体"/>
                <w:color w:val="000000"/>
                <w:kern w:val="0"/>
                <w:sz w:val="28"/>
                <w:szCs w:val="28"/>
              </w:rPr>
            </w:pPr>
          </w:p>
        </w:tc>
        <w:tc>
          <w:tcPr>
            <w:tcW w:w="1626" w:type="dxa"/>
          </w:tcPr>
          <w:p w:rsidR="007A1121" w:rsidRDefault="007A1121">
            <w:pPr>
              <w:snapToGrid w:val="0"/>
              <w:jc w:val="left"/>
              <w:rPr>
                <w:rFonts w:ascii="仿宋" w:eastAsia="仿宋" w:hAnsi="仿宋" w:cs="宋体"/>
                <w:color w:val="000000"/>
                <w:kern w:val="0"/>
                <w:sz w:val="28"/>
                <w:szCs w:val="28"/>
              </w:rPr>
            </w:pPr>
          </w:p>
        </w:tc>
        <w:tc>
          <w:tcPr>
            <w:tcW w:w="1669" w:type="dxa"/>
          </w:tcPr>
          <w:p w:rsidR="007A1121" w:rsidRDefault="007A1121">
            <w:pPr>
              <w:snapToGrid w:val="0"/>
              <w:jc w:val="left"/>
              <w:rPr>
                <w:rFonts w:ascii="仿宋" w:eastAsia="仿宋" w:hAnsi="仿宋" w:cs="宋体"/>
                <w:color w:val="000000"/>
                <w:kern w:val="0"/>
                <w:sz w:val="28"/>
                <w:szCs w:val="28"/>
              </w:rPr>
            </w:pPr>
          </w:p>
        </w:tc>
        <w:tc>
          <w:tcPr>
            <w:tcW w:w="1605" w:type="dxa"/>
          </w:tcPr>
          <w:p w:rsidR="007A1121" w:rsidRDefault="007A1121">
            <w:pPr>
              <w:snapToGrid w:val="0"/>
              <w:jc w:val="left"/>
              <w:rPr>
                <w:rFonts w:ascii="仿宋" w:eastAsia="仿宋" w:hAnsi="仿宋" w:cs="宋体"/>
                <w:color w:val="000000"/>
                <w:kern w:val="0"/>
                <w:sz w:val="28"/>
                <w:szCs w:val="28"/>
              </w:rPr>
            </w:pPr>
          </w:p>
        </w:tc>
        <w:tc>
          <w:tcPr>
            <w:tcW w:w="987" w:type="dxa"/>
          </w:tcPr>
          <w:p w:rsidR="007A1121" w:rsidRDefault="007A1121">
            <w:pPr>
              <w:snapToGrid w:val="0"/>
              <w:jc w:val="left"/>
              <w:rPr>
                <w:rFonts w:ascii="仿宋" w:eastAsia="仿宋" w:hAnsi="仿宋" w:cs="宋体"/>
                <w:color w:val="000000"/>
                <w:kern w:val="0"/>
                <w:sz w:val="28"/>
                <w:szCs w:val="28"/>
              </w:rPr>
            </w:pPr>
          </w:p>
        </w:tc>
      </w:tr>
    </w:tbl>
    <w:p w:rsidR="007A1121" w:rsidRDefault="00FE5DC9">
      <w:pPr>
        <w:rPr>
          <w:sz w:val="32"/>
          <w:szCs w:val="32"/>
        </w:rPr>
      </w:pPr>
      <w:r>
        <w:rPr>
          <w:rFonts w:hint="eastAsia"/>
          <w:sz w:val="32"/>
          <w:szCs w:val="32"/>
        </w:rPr>
        <w:t>支部：</w:t>
      </w:r>
      <w:r>
        <w:rPr>
          <w:rFonts w:hint="eastAsia"/>
          <w:sz w:val="32"/>
          <w:szCs w:val="32"/>
        </w:rPr>
        <w:t xml:space="preserve">                          </w:t>
      </w:r>
      <w:r>
        <w:rPr>
          <w:rFonts w:hint="eastAsia"/>
          <w:sz w:val="32"/>
          <w:szCs w:val="32"/>
        </w:rPr>
        <w:t>支部书记签字：</w:t>
      </w: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sectPr w:rsidR="007A1121" w:rsidSect="007A1121">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1D3" w:rsidRDefault="00BD21D3" w:rsidP="007A1121">
      <w:r>
        <w:separator/>
      </w:r>
    </w:p>
  </w:endnote>
  <w:endnote w:type="continuationSeparator" w:id="1">
    <w:p w:rsidR="00BD21D3" w:rsidRDefault="00BD21D3" w:rsidP="007A1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21" w:rsidRDefault="007A112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A1121" w:rsidRDefault="007A1121">
                <w:pPr>
                  <w:snapToGrid w:val="0"/>
                  <w:rPr>
                    <w:sz w:val="18"/>
                  </w:rPr>
                </w:pPr>
                <w:r>
                  <w:rPr>
                    <w:rFonts w:hint="eastAsia"/>
                    <w:sz w:val="18"/>
                  </w:rPr>
                  <w:fldChar w:fldCharType="begin"/>
                </w:r>
                <w:r w:rsidR="00BD21D3">
                  <w:rPr>
                    <w:rFonts w:hint="eastAsia"/>
                    <w:sz w:val="18"/>
                  </w:rPr>
                  <w:instrText xml:space="preserve"> PAGE  \* MERGEFORMAT </w:instrText>
                </w:r>
                <w:r>
                  <w:rPr>
                    <w:rFonts w:hint="eastAsia"/>
                    <w:sz w:val="18"/>
                  </w:rPr>
                  <w:fldChar w:fldCharType="separate"/>
                </w:r>
                <w:r w:rsidR="00926E30">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1D3" w:rsidRDefault="00BD21D3" w:rsidP="007A1121">
      <w:r>
        <w:separator/>
      </w:r>
    </w:p>
  </w:footnote>
  <w:footnote w:type="continuationSeparator" w:id="1">
    <w:p w:rsidR="00BD21D3" w:rsidRDefault="00BD21D3" w:rsidP="007A1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6BE67"/>
    <w:multiLevelType w:val="singleLevel"/>
    <w:tmpl w:val="5846BE67"/>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D862649"/>
    <w:rsid w:val="00362B83"/>
    <w:rsid w:val="00521A39"/>
    <w:rsid w:val="00754A46"/>
    <w:rsid w:val="007A1121"/>
    <w:rsid w:val="00926E30"/>
    <w:rsid w:val="009E6130"/>
    <w:rsid w:val="00BD21D3"/>
    <w:rsid w:val="00F8071F"/>
    <w:rsid w:val="00FE5DC9"/>
    <w:rsid w:val="0CCE42DC"/>
    <w:rsid w:val="155516AB"/>
    <w:rsid w:val="19243E92"/>
    <w:rsid w:val="197B146F"/>
    <w:rsid w:val="278C5C33"/>
    <w:rsid w:val="30A70887"/>
    <w:rsid w:val="45681AC1"/>
    <w:rsid w:val="47846940"/>
    <w:rsid w:val="49BB043F"/>
    <w:rsid w:val="5C5E2E29"/>
    <w:rsid w:val="5D862649"/>
    <w:rsid w:val="600B5651"/>
    <w:rsid w:val="628B7194"/>
    <w:rsid w:val="6EA46B34"/>
    <w:rsid w:val="7D3C6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1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A1121"/>
    <w:pPr>
      <w:tabs>
        <w:tab w:val="center" w:pos="4153"/>
        <w:tab w:val="right" w:pos="8306"/>
      </w:tabs>
      <w:snapToGrid w:val="0"/>
      <w:jc w:val="left"/>
    </w:pPr>
    <w:rPr>
      <w:sz w:val="18"/>
    </w:rPr>
  </w:style>
  <w:style w:type="paragraph" w:styleId="a4">
    <w:name w:val="header"/>
    <w:basedOn w:val="a"/>
    <w:rsid w:val="007A112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99"/>
    <w:qFormat/>
    <w:rsid w:val="007A112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555</Words>
  <Characters>3165</Characters>
  <Application>Microsoft Office Word</Application>
  <DocSecurity>0</DocSecurity>
  <Lines>26</Lines>
  <Paragraphs>7</Paragraphs>
  <ScaleCrop>false</ScaleCrop>
  <Company>user</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cp:lastPrinted>2016-12-07T01:09:00Z</cp:lastPrinted>
  <dcterms:created xsi:type="dcterms:W3CDTF">2016-12-06T07:49:00Z</dcterms:created>
  <dcterms:modified xsi:type="dcterms:W3CDTF">2016-12-07T03:08:00Z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